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981" w:rsidRPr="00BC161B" w:rsidRDefault="009C6981" w:rsidP="009C6981">
      <w:pPr>
        <w:autoSpaceDE w:val="0"/>
        <w:autoSpaceDN w:val="0"/>
        <w:adjustRightInd w:val="0"/>
        <w:jc w:val="center"/>
        <w:rPr>
          <w:rFonts w:ascii="Century Gothic" w:hAnsi="Century Gothic"/>
          <w:b/>
          <w:sz w:val="24"/>
          <w:szCs w:val="24"/>
        </w:rPr>
      </w:pPr>
      <w:r w:rsidRPr="00BC161B">
        <w:rPr>
          <w:rFonts w:ascii="Century Gothic" w:hAnsi="Century Gothic"/>
          <w:b/>
          <w:sz w:val="24"/>
          <w:szCs w:val="24"/>
        </w:rPr>
        <w:t>DOMANDA PER LA PRESENTAZIONE DELLA CANDIDATURA</w:t>
      </w:r>
    </w:p>
    <w:p w:rsidR="009C6981" w:rsidRPr="00BC161B" w:rsidRDefault="009C6981" w:rsidP="009C6981">
      <w:pPr>
        <w:autoSpaceDE w:val="0"/>
        <w:autoSpaceDN w:val="0"/>
        <w:adjustRightInd w:val="0"/>
        <w:jc w:val="center"/>
        <w:rPr>
          <w:rFonts w:ascii="Century Gothic" w:hAnsi="Century Gothic"/>
          <w:b/>
          <w:sz w:val="24"/>
          <w:szCs w:val="24"/>
        </w:rPr>
      </w:pPr>
      <w:r w:rsidRPr="00BC161B">
        <w:rPr>
          <w:rFonts w:ascii="Century Gothic" w:hAnsi="Century Gothic"/>
          <w:b/>
          <w:sz w:val="24"/>
          <w:szCs w:val="24"/>
        </w:rPr>
        <w:t>IN QUALITA’ DI COMPONENTE DEL CDA DI ASEP SRL</w:t>
      </w:r>
    </w:p>
    <w:p w:rsidR="009C6981" w:rsidRPr="00BC161B" w:rsidRDefault="009C6981" w:rsidP="009C6981">
      <w:pPr>
        <w:autoSpaceDE w:val="0"/>
        <w:autoSpaceDN w:val="0"/>
        <w:adjustRightInd w:val="0"/>
        <w:rPr>
          <w:rFonts w:ascii="Century Gothic" w:hAnsi="Century Gothic"/>
          <w:b/>
          <w:bCs/>
          <w:sz w:val="22"/>
          <w:szCs w:val="22"/>
        </w:rPr>
      </w:pPr>
      <w:r w:rsidRPr="00BC161B">
        <w:rPr>
          <w:rFonts w:ascii="Century Gothic" w:hAnsi="Century Gothic"/>
          <w:b/>
          <w:bCs/>
          <w:sz w:val="22"/>
          <w:szCs w:val="22"/>
        </w:rPr>
        <w:t>Al Sindaco del Comune di Porto Mantovano</w:t>
      </w:r>
    </w:p>
    <w:p w:rsidR="009C6981" w:rsidRPr="00BC161B" w:rsidRDefault="009C6981" w:rsidP="009C6981">
      <w:pPr>
        <w:autoSpaceDE w:val="0"/>
        <w:autoSpaceDN w:val="0"/>
        <w:adjustRightInd w:val="0"/>
        <w:rPr>
          <w:rFonts w:ascii="Century Gothic" w:hAnsi="Century Gothic"/>
          <w:b/>
          <w:bCs/>
          <w:sz w:val="22"/>
          <w:szCs w:val="22"/>
        </w:rPr>
      </w:pPr>
      <w:r w:rsidRPr="00BC161B">
        <w:rPr>
          <w:rFonts w:ascii="Century Gothic" w:hAnsi="Century Gothic"/>
          <w:b/>
          <w:bCs/>
          <w:sz w:val="22"/>
          <w:szCs w:val="22"/>
        </w:rPr>
        <w:t xml:space="preserve">Ufficio Protocollo </w:t>
      </w:r>
    </w:p>
    <w:p w:rsidR="009C6981" w:rsidRPr="00BC161B" w:rsidRDefault="009C6981" w:rsidP="009C6981">
      <w:pPr>
        <w:autoSpaceDE w:val="0"/>
        <w:autoSpaceDN w:val="0"/>
        <w:adjustRightInd w:val="0"/>
        <w:rPr>
          <w:rFonts w:ascii="Century Gothic" w:hAnsi="Century Gothic"/>
          <w:b/>
          <w:bCs/>
        </w:rPr>
      </w:pP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La/Il sottoscritta/o_____________________________________ nata/o a _____________________ </w:t>
      </w:r>
      <w:proofErr w:type="gramStart"/>
      <w:r w:rsidRPr="00BC161B">
        <w:rPr>
          <w:rFonts w:ascii="Century Gothic" w:hAnsi="Century Gothic"/>
        </w:rPr>
        <w:t xml:space="preserve">(  </w:t>
      </w:r>
      <w:proofErr w:type="gramEnd"/>
      <w:r w:rsidRPr="00BC161B">
        <w:rPr>
          <w:rFonts w:ascii="Century Gothic" w:hAnsi="Century Gothic"/>
        </w:rPr>
        <w:t xml:space="preserve">   ), il </w:t>
      </w:r>
      <w:r w:rsidRPr="00BC161B">
        <w:rPr>
          <w:rFonts w:ascii="Century Gothic" w:hAnsi="Century Gothic"/>
          <w:u w:val="single"/>
        </w:rPr>
        <w:t xml:space="preserve"> __  /    / __ </w:t>
      </w:r>
      <w:r w:rsidRPr="00BC161B">
        <w:rPr>
          <w:rFonts w:ascii="Century Gothic" w:hAnsi="Century Gothic"/>
        </w:rPr>
        <w:t xml:space="preserve">, residente in _________________________________ (  ),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Via/p.za ______________________</w:t>
      </w:r>
      <w:proofErr w:type="gramStart"/>
      <w:r w:rsidRPr="00BC161B">
        <w:rPr>
          <w:rFonts w:ascii="Century Gothic" w:hAnsi="Century Gothic"/>
        </w:rPr>
        <w:t>_ ,</w:t>
      </w:r>
      <w:proofErr w:type="gramEnd"/>
      <w:r w:rsidRPr="00BC161B">
        <w:rPr>
          <w:rFonts w:ascii="Century Gothic" w:hAnsi="Century Gothic"/>
        </w:rPr>
        <w:t xml:space="preserve"> n. _____ , CAP_________,  C.F._____________________________,</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tel. _________________________ / e-mail _____________________________ PEC __________________________</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ai sensi degli artt. 46 e 47 del D.P.R. n. 445/2000 </w:t>
      </w:r>
      <w:r w:rsidRPr="00BC161B">
        <w:rPr>
          <w:rFonts w:ascii="Century Gothic" w:hAnsi="Century Gothic"/>
          <w:b/>
          <w:bCs/>
        </w:rPr>
        <w:t xml:space="preserve">e consapevole delle responsabilità e delle sanzioni penali previste del successivo art. 76 </w:t>
      </w:r>
      <w:r w:rsidRPr="00BC161B">
        <w:rPr>
          <w:rFonts w:ascii="Century Gothic" w:hAnsi="Century Gothic"/>
        </w:rPr>
        <w:t>del medesimo decreto per false attestazioni e dichiarazioni mendaci,</w:t>
      </w:r>
    </w:p>
    <w:p w:rsidR="009C6981" w:rsidRPr="00BC161B" w:rsidRDefault="009C6981" w:rsidP="009C6981">
      <w:pPr>
        <w:autoSpaceDE w:val="0"/>
        <w:autoSpaceDN w:val="0"/>
        <w:adjustRightInd w:val="0"/>
        <w:jc w:val="center"/>
        <w:rPr>
          <w:rFonts w:ascii="Century Gothic" w:hAnsi="Century Gothic"/>
          <w:b/>
        </w:rPr>
      </w:pPr>
      <w:r w:rsidRPr="00BC161B">
        <w:rPr>
          <w:rFonts w:ascii="Century Gothic" w:hAnsi="Century Gothic"/>
          <w:b/>
        </w:rPr>
        <w:t>DICHIARA</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la propria disponibilità ad essere designato/nominato in qualità di </w:t>
      </w:r>
      <w:r w:rsidRPr="00BC161B">
        <w:rPr>
          <w:rFonts w:ascii="Century Gothic" w:hAnsi="Century Gothic"/>
          <w:i/>
          <w:iCs/>
          <w:u w:val="single"/>
        </w:rPr>
        <w:t>COMPONENTE DEL CDA DI NOMINA DEL COMUNE DI PORTO MANTOVANO sino all’approvazione del bilancio d’esercizio 2028 (</w:t>
      </w:r>
      <w:r w:rsidRPr="00BC161B">
        <w:rPr>
          <w:rFonts w:ascii="Century Gothic" w:hAnsi="Century Gothic"/>
          <w:i/>
        </w:rPr>
        <w:t>con scadenza dalla carica prevista alla data dell</w:t>
      </w:r>
      <w:r w:rsidRPr="00BC161B">
        <w:rPr>
          <w:rFonts w:ascii="Century Gothic" w:hAnsi="Century Gothic" w:hint="eastAsia"/>
          <w:i/>
        </w:rPr>
        <w:t>’</w:t>
      </w:r>
      <w:r w:rsidRPr="00BC161B">
        <w:rPr>
          <w:rFonts w:ascii="Century Gothic" w:hAnsi="Century Gothic"/>
          <w:i/>
        </w:rPr>
        <w:t>assemblea convocata per l</w:t>
      </w:r>
      <w:r w:rsidRPr="00BC161B">
        <w:rPr>
          <w:rFonts w:ascii="Century Gothic" w:hAnsi="Century Gothic" w:hint="eastAsia"/>
          <w:i/>
        </w:rPr>
        <w:t>’</w:t>
      </w:r>
      <w:r w:rsidRPr="00BC161B">
        <w:rPr>
          <w:rFonts w:ascii="Century Gothic" w:hAnsi="Century Gothic"/>
          <w:i/>
        </w:rPr>
        <w:t>approvazione del bilancio dell’esercizio 2028)</w:t>
      </w:r>
      <w:r w:rsidRPr="00BC161B">
        <w:rPr>
          <w:rFonts w:ascii="Century Gothic" w:hAnsi="Century Gothic"/>
        </w:rPr>
        <w:t>.</w:t>
      </w:r>
    </w:p>
    <w:p w:rsidR="009C6981" w:rsidRPr="00BC161B" w:rsidRDefault="009C6981" w:rsidP="009C6981">
      <w:pPr>
        <w:autoSpaceDE w:val="0"/>
        <w:autoSpaceDN w:val="0"/>
        <w:adjustRightInd w:val="0"/>
        <w:rPr>
          <w:rFonts w:ascii="Century Gothic" w:hAnsi="Century Gothic"/>
        </w:rPr>
      </w:pP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A tal fine dichiara inoltre:</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 di aver preso visione del Regolamento sugli </w:t>
      </w:r>
      <w:r w:rsidRPr="00BC161B">
        <w:rPr>
          <w:rFonts w:ascii="Century Gothic" w:hAnsi="Century Gothic"/>
          <w:i/>
          <w:iCs/>
        </w:rPr>
        <w:t xml:space="preserve">Indirizzi per la nomina, la designazione e la revoca dei rappresentanti del Comune di Porto Mantovano presso Enti, Aziende ed Istituzioni </w:t>
      </w:r>
      <w:r w:rsidRPr="00BC161B">
        <w:rPr>
          <w:rFonts w:ascii="Century Gothic" w:hAnsi="Century Gothic"/>
        </w:rPr>
        <w:t xml:space="preserve">approvato dal Consiglio Comunale con Deliberazione n. 48/2024 (consultabile al link: </w:t>
      </w:r>
      <w:hyperlink r:id="rId5" w:history="1">
        <w:r w:rsidRPr="00BC161B">
          <w:rPr>
            <w:rStyle w:val="Collegamentoipertestuale"/>
            <w:rFonts w:ascii="Century Gothic" w:hAnsi="Century Gothic"/>
          </w:rPr>
          <w:t>www.comune.porto-mantovano.mn.it</w:t>
        </w:r>
      </w:hyperlink>
      <w:r w:rsidRPr="00BC161B">
        <w:rPr>
          <w:rFonts w:ascii="Century Gothic" w:hAnsi="Century Gothic"/>
        </w:rPr>
        <w:t xml:space="preserve">) e di </w:t>
      </w:r>
      <w:r w:rsidRPr="00BC161B">
        <w:rPr>
          <w:rFonts w:ascii="Century Gothic" w:hAnsi="Century Gothic"/>
          <w:bCs/>
        </w:rPr>
        <w:t>impegnarsi all’osservanza degli adempimenti ed obblighi ivi previsti</w:t>
      </w:r>
      <w:r w:rsidRPr="00BC161B">
        <w:rPr>
          <w:rFonts w:ascii="Century Gothic" w:hAnsi="Century Gothic"/>
        </w:rPr>
        <w:t>;</w:t>
      </w:r>
    </w:p>
    <w:p w:rsidR="009C6981" w:rsidRPr="00BC161B" w:rsidRDefault="009C6981" w:rsidP="009C6981">
      <w:pPr>
        <w:autoSpaceDE w:val="0"/>
        <w:autoSpaceDN w:val="0"/>
        <w:adjustRightInd w:val="0"/>
        <w:jc w:val="both"/>
        <w:rPr>
          <w:rFonts w:ascii="Century Gothic" w:hAnsi="Century Gothic"/>
          <w:strike/>
        </w:rPr>
      </w:pPr>
      <w:r w:rsidRPr="00BC161B">
        <w:rPr>
          <w:rFonts w:ascii="Century Gothic" w:hAnsi="Century Gothic"/>
        </w:rPr>
        <w:t xml:space="preserve">- di essere in possesso dei </w:t>
      </w:r>
      <w:r w:rsidRPr="00BC161B">
        <w:rPr>
          <w:rFonts w:ascii="Century Gothic" w:hAnsi="Century Gothic"/>
          <w:i/>
          <w:iCs/>
        </w:rPr>
        <w:t xml:space="preserve">REQUISITI GENERALI </w:t>
      </w:r>
      <w:r w:rsidRPr="00BC161B">
        <w:rPr>
          <w:rFonts w:ascii="Century Gothic" w:hAnsi="Century Gothic"/>
        </w:rPr>
        <w:t>previsti dall’art. 4 del citato Regolamento (</w:t>
      </w:r>
      <w:r w:rsidRPr="00BC161B">
        <w:rPr>
          <w:rFonts w:ascii="Century Gothic" w:hAnsi="Century Gothic"/>
          <w:bCs/>
        </w:rPr>
        <w:t xml:space="preserve">allegare </w:t>
      </w:r>
      <w:r w:rsidRPr="00BC161B">
        <w:rPr>
          <w:rFonts w:ascii="Century Gothic" w:hAnsi="Century Gothic"/>
          <w:bCs/>
          <w:i/>
          <w:iCs/>
        </w:rPr>
        <w:t>curriculum vitae sottoscritto</w:t>
      </w:r>
      <w:r w:rsidRPr="00BC161B">
        <w:rPr>
          <w:rFonts w:ascii="Century Gothic" w:hAnsi="Century Gothic"/>
        </w:rPr>
        <w:t>);</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di non trovarsi in alcune delle cause di incompatibilità ed esclusione indicate nell’art. 5 del Regolamento medesimo;</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 di non trovarsi in alcune delle cause di </w:t>
      </w:r>
      <w:proofErr w:type="spellStart"/>
      <w:r w:rsidRPr="00BC161B">
        <w:rPr>
          <w:rFonts w:ascii="Century Gothic" w:hAnsi="Century Gothic"/>
        </w:rPr>
        <w:t>inconferibilità</w:t>
      </w:r>
      <w:proofErr w:type="spellEnd"/>
      <w:r w:rsidRPr="00BC161B">
        <w:rPr>
          <w:rFonts w:ascii="Century Gothic" w:hAnsi="Century Gothic"/>
        </w:rPr>
        <w:t xml:space="preserve"> ovvero di impegnarsi ad osservare i vincoli di incompatibilità di cui al d.lgs. 39/2013;</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di non trovarsi in alcuna delle cause ostative di cui all’art. 10, c. 2 d.lgs. 235/2012;</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di non trovarsi nelle condizioni di cui all'art. 248, c. 5 d.lgs. n. 267/2000, come modificato dal D.L. n. 174/2012 convertito con legge n. 213/2012.</w:t>
      </w:r>
    </w:p>
    <w:p w:rsidR="009C6981" w:rsidRPr="00BC161B" w:rsidRDefault="009C6981" w:rsidP="009C6981">
      <w:pPr>
        <w:jc w:val="both"/>
        <w:rPr>
          <w:rFonts w:ascii="Century Gothic" w:hAnsi="Century Gothic"/>
        </w:rPr>
      </w:pPr>
      <w:r w:rsidRPr="00BC161B">
        <w:rPr>
          <w:rFonts w:ascii="Century Gothic" w:hAnsi="Century Gothic"/>
        </w:rPr>
        <w:t>- di non trovarsi nelle condizioni previste dall’ art. 2382 c.c.</w:t>
      </w:r>
    </w:p>
    <w:p w:rsidR="009C6981" w:rsidRPr="00BC161B" w:rsidRDefault="009C6981" w:rsidP="009C6981">
      <w:pPr>
        <w:jc w:val="both"/>
        <w:rPr>
          <w:rFonts w:ascii="Century Gothic" w:hAnsi="Century Gothic"/>
        </w:rPr>
      </w:pPr>
      <w:r w:rsidRPr="00BC161B">
        <w:rPr>
          <w:rFonts w:ascii="Century Gothic" w:hAnsi="Century Gothic"/>
        </w:rPr>
        <w:t>- di essere in possesso dei requisiti previsti dall’art. 11 comma 1 del D. Lgs. 175/2016 (testo unico sulle società partecipate) ad oggetto “Art. </w:t>
      </w:r>
      <w:bookmarkStart w:id="0" w:name="11"/>
      <w:r w:rsidRPr="00BC161B">
        <w:rPr>
          <w:rFonts w:ascii="Century Gothic" w:hAnsi="Century Gothic"/>
        </w:rPr>
        <w:t>11</w:t>
      </w:r>
      <w:bookmarkEnd w:id="0"/>
      <w:r w:rsidRPr="00BC161B">
        <w:rPr>
          <w:rFonts w:ascii="Century Gothic" w:hAnsi="Century Gothic"/>
        </w:rPr>
        <w:t>. Organi amministrativi e di controllo delle società a controllo pubblico”;</w:t>
      </w:r>
    </w:p>
    <w:p w:rsidR="009C6981" w:rsidRPr="00BC161B" w:rsidRDefault="009C6981" w:rsidP="009C6981">
      <w:pPr>
        <w:jc w:val="both"/>
        <w:rPr>
          <w:rFonts w:ascii="Century Gothic" w:hAnsi="Century Gothic"/>
        </w:rPr>
      </w:pPr>
      <w:r w:rsidRPr="00BC161B">
        <w:rPr>
          <w:rFonts w:ascii="Century Gothic" w:hAnsi="Century Gothic"/>
        </w:rPr>
        <w:t>-  di non essere dipendente delle amministrazioni pubbliche controllanti o vigilanti della società come previsto dall’art. 11 comma 8 del   D. Lgs. 175/2016 (testo unico sulle società partecipate) ad oggetto “Art. 11. Organi amministrativi e di controllo delle società a controllo pubblico”;</w:t>
      </w:r>
    </w:p>
    <w:p w:rsidR="009C6981" w:rsidRPr="00BC161B" w:rsidRDefault="009C6981" w:rsidP="009C6981">
      <w:pPr>
        <w:jc w:val="both"/>
        <w:rPr>
          <w:rFonts w:ascii="Century Gothic" w:hAnsi="Century Gothic"/>
        </w:rPr>
      </w:pPr>
      <w:r w:rsidRPr="00BC161B">
        <w:rPr>
          <w:rFonts w:ascii="Century Gothic" w:hAnsi="Century Gothic"/>
        </w:rPr>
        <w:t>- di accettare le condizioni e la disciplina previste dall’art. 11 del D. Lgs. 175/2016 (testo unico sulle società partecipate) nella parte che regolamenta la figura degli amministratori di società a controllo pubblico;</w:t>
      </w:r>
    </w:p>
    <w:p w:rsidR="009C6981" w:rsidRPr="00BC161B" w:rsidRDefault="009C6981" w:rsidP="009C6981">
      <w:pPr>
        <w:jc w:val="both"/>
        <w:rPr>
          <w:rFonts w:ascii="Century Gothic" w:hAnsi="Century Gothic"/>
        </w:rPr>
      </w:pPr>
      <w:r w:rsidRPr="00BC161B">
        <w:rPr>
          <w:rFonts w:ascii="Century Gothic" w:hAnsi="Century Gothic"/>
        </w:rPr>
        <w:t>- di essere consapevole dei requisiti richiesti e che la candidatura sarà pubblicata sul sito istituzionale dell’ente come previsto dall’art. 7 comma 1 della richiamata deliberazione di</w:t>
      </w:r>
      <w:r w:rsidRPr="00BC161B">
        <w:rPr>
          <w:rFonts w:ascii="Century Gothic" w:hAnsi="Century Gothic"/>
          <w:i/>
        </w:rPr>
        <w:t xml:space="preserve"> Indirizzi per la nomina, la designazione e la revoca dei Rappresentanti del Comune presso Enti, Aziende, Istituzioni e Società</w:t>
      </w:r>
      <w:r w:rsidRPr="00BC161B">
        <w:rPr>
          <w:rFonts w:ascii="Century Gothic" w:hAnsi="Century Gothic"/>
        </w:rPr>
        <w:t>” secondo cui: “l’elenco delle candidature pervenute con la relativa documentazione sarà pubblicato sul sito istituzionale dell’ente fino alla conclusione della procedura”;</w:t>
      </w:r>
    </w:p>
    <w:p w:rsidR="009C6981" w:rsidRPr="00BC161B" w:rsidRDefault="009C6981" w:rsidP="009C6981">
      <w:pPr>
        <w:autoSpaceDE w:val="0"/>
        <w:autoSpaceDN w:val="0"/>
        <w:adjustRightInd w:val="0"/>
        <w:jc w:val="both"/>
        <w:rPr>
          <w:rFonts w:ascii="Century Gothic" w:hAnsi="Century Gothic"/>
          <w:b/>
        </w:rPr>
      </w:pPr>
      <w:r w:rsidRPr="00BC161B">
        <w:rPr>
          <w:rFonts w:ascii="Century Gothic" w:hAnsi="Century Gothic"/>
          <w:b/>
        </w:rPr>
        <w:t>Alla presente richiesta viene allegato curriculum vitae sottoscritto e copia della fotocopia di un documento di identità.</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La/Il sottoscritta/o autorizza al trattamento dei dati personali come da dichiarazione rilasciata ai sensi del regolamento UE 679/2016 “Consenso al trattamento dei dati (Privacy) che si allega alla candidatura.</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_________________________________________________</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(luogo e data)</w:t>
      </w:r>
    </w:p>
    <w:p w:rsidR="009C6981" w:rsidRPr="00BC161B" w:rsidRDefault="009C6981" w:rsidP="009C6981">
      <w:pPr>
        <w:jc w:val="both"/>
        <w:rPr>
          <w:rFonts w:ascii="Century Gothic" w:hAnsi="Century Gothic"/>
        </w:rPr>
      </w:pPr>
      <w:r w:rsidRPr="00BC161B">
        <w:rPr>
          <w:rFonts w:ascii="Century Gothic" w:hAnsi="Century Gothic"/>
        </w:rPr>
        <w:t>__________________________________________________</w:t>
      </w:r>
    </w:p>
    <w:p w:rsidR="009C6981" w:rsidRPr="00BC161B" w:rsidRDefault="009C6981" w:rsidP="009C6981">
      <w:pPr>
        <w:jc w:val="both"/>
        <w:rPr>
          <w:rFonts w:ascii="Century Gothic" w:hAnsi="Century Gothic"/>
          <w:b/>
        </w:rPr>
      </w:pPr>
      <w:r w:rsidRPr="00BC161B">
        <w:rPr>
          <w:rFonts w:ascii="Century Gothic" w:hAnsi="Century Gothic"/>
          <w:b/>
          <w:highlight w:val="lightGray"/>
        </w:rPr>
        <w:t>(firma)</w:t>
      </w:r>
    </w:p>
    <w:p w:rsidR="009C6981" w:rsidRPr="00BC161B" w:rsidRDefault="009C6981" w:rsidP="009C6981">
      <w:pPr>
        <w:tabs>
          <w:tab w:val="left" w:pos="2040"/>
        </w:tabs>
        <w:autoSpaceDE w:val="0"/>
        <w:autoSpaceDN w:val="0"/>
        <w:adjustRightInd w:val="0"/>
        <w:jc w:val="center"/>
        <w:rPr>
          <w:rFonts w:ascii="Century Gothic" w:eastAsia="Calibri" w:hAnsi="Century Gothic" w:cs="Arial"/>
          <w:sz w:val="36"/>
          <w:szCs w:val="36"/>
          <w:lang w:eastAsia="en-US"/>
        </w:rPr>
      </w:pPr>
      <w:r w:rsidRPr="00BC161B">
        <w:rPr>
          <w:b/>
          <w:sz w:val="24"/>
        </w:rPr>
        <w:br w:type="page"/>
      </w:r>
      <w:r w:rsidRPr="00BC161B">
        <w:rPr>
          <w:rFonts w:ascii="Century Gothic" w:eastAsia="Calibri" w:hAnsi="Century Gothic" w:cs="Arial"/>
          <w:b/>
          <w:bCs/>
          <w:sz w:val="36"/>
          <w:szCs w:val="36"/>
          <w:lang w:eastAsia="en-US"/>
        </w:rPr>
        <w:lastRenderedPageBreak/>
        <w:t xml:space="preserve">Consenso al trattamento dei dati </w:t>
      </w:r>
      <w:r w:rsidRPr="00BC161B">
        <w:rPr>
          <w:rFonts w:ascii="Century Gothic" w:eastAsia="Calibri" w:hAnsi="Century Gothic" w:cs="Arial"/>
          <w:sz w:val="36"/>
          <w:szCs w:val="36"/>
          <w:lang w:eastAsia="en-US"/>
        </w:rPr>
        <w:t>(“Privacy”)</w:t>
      </w:r>
    </w:p>
    <w:p w:rsidR="009C6981" w:rsidRPr="00BC161B" w:rsidRDefault="009C6981" w:rsidP="009C6981">
      <w:pPr>
        <w:autoSpaceDE w:val="0"/>
        <w:autoSpaceDN w:val="0"/>
        <w:adjustRightInd w:val="0"/>
        <w:jc w:val="both"/>
        <w:rPr>
          <w:rFonts w:ascii="Century Gothic" w:eastAsia="Calibri" w:hAnsi="Century Gothic" w:cs="Arial"/>
          <w:i/>
          <w:iCs/>
          <w:sz w:val="24"/>
          <w:szCs w:val="24"/>
          <w:lang w:eastAsia="en-US"/>
        </w:rPr>
      </w:pPr>
    </w:p>
    <w:p w:rsidR="009C6981" w:rsidRPr="00BC161B" w:rsidRDefault="009C6981" w:rsidP="009C6981">
      <w:pPr>
        <w:autoSpaceDE w:val="0"/>
        <w:autoSpaceDN w:val="0"/>
        <w:adjustRightInd w:val="0"/>
        <w:jc w:val="both"/>
        <w:rPr>
          <w:rFonts w:ascii="Century Gothic" w:eastAsia="Calibri" w:hAnsi="Century Gothic" w:cs="Arial"/>
          <w:i/>
          <w:iCs/>
          <w:sz w:val="24"/>
          <w:szCs w:val="24"/>
          <w:lang w:eastAsia="en-US"/>
        </w:rPr>
      </w:pPr>
      <w:r w:rsidRPr="00BC161B">
        <w:rPr>
          <w:rFonts w:ascii="Century Gothic" w:eastAsia="Calibri" w:hAnsi="Century Gothic" w:cs="Arial"/>
          <w:i/>
          <w:iCs/>
          <w:sz w:val="24"/>
          <w:szCs w:val="24"/>
          <w:lang w:eastAsia="en-US"/>
        </w:rPr>
        <w:t xml:space="preserve">Allegato alla domanda </w:t>
      </w:r>
      <w:r w:rsidRPr="00BC161B">
        <w:rPr>
          <w:rFonts w:ascii="Century Gothic" w:eastAsia="Calibri" w:hAnsi="Century Gothic" w:cs="Arial"/>
          <w:i/>
          <w:iCs/>
          <w:sz w:val="24"/>
          <w:szCs w:val="24"/>
          <w:highlight w:val="lightGray"/>
          <w:lang w:eastAsia="en-US"/>
        </w:rPr>
        <w:t>(</w:t>
      </w:r>
      <w:r w:rsidRPr="00BC161B">
        <w:rPr>
          <w:rFonts w:ascii="Century Gothic" w:eastAsia="Calibri" w:hAnsi="Century Gothic" w:cs="Arial"/>
          <w:b/>
          <w:i/>
          <w:iCs/>
          <w:sz w:val="24"/>
          <w:szCs w:val="24"/>
          <w:highlight w:val="lightGray"/>
          <w:lang w:eastAsia="en-US"/>
        </w:rPr>
        <w:t>da sottoscrivere</w:t>
      </w:r>
      <w:r w:rsidRPr="00BC161B">
        <w:rPr>
          <w:rFonts w:ascii="Century Gothic" w:eastAsia="Calibri" w:hAnsi="Century Gothic" w:cs="Arial"/>
          <w:i/>
          <w:iCs/>
          <w:sz w:val="24"/>
          <w:szCs w:val="24"/>
          <w:highlight w:val="lightGray"/>
          <w:lang w:eastAsia="en-US"/>
        </w:rPr>
        <w:t>)</w:t>
      </w:r>
      <w:r w:rsidRPr="00BC161B">
        <w:rPr>
          <w:rFonts w:ascii="Century Gothic" w:eastAsia="Calibri" w:hAnsi="Century Gothic" w:cs="Arial"/>
          <w:i/>
          <w:iCs/>
          <w:sz w:val="24"/>
          <w:szCs w:val="24"/>
          <w:lang w:eastAsia="en-US"/>
        </w:rPr>
        <w:t xml:space="preserve"> </w:t>
      </w:r>
      <w:proofErr w:type="gramStart"/>
      <w:r w:rsidRPr="00BC161B">
        <w:rPr>
          <w:rFonts w:ascii="Century Gothic" w:eastAsia="Calibri" w:hAnsi="Century Gothic" w:cs="Arial"/>
          <w:i/>
          <w:iCs/>
          <w:sz w:val="24"/>
          <w:szCs w:val="24"/>
          <w:lang w:eastAsia="en-US"/>
        </w:rPr>
        <w:t>-“</w:t>
      </w:r>
      <w:proofErr w:type="gramEnd"/>
      <w:r w:rsidRPr="00BC161B">
        <w:rPr>
          <w:rFonts w:ascii="Century Gothic" w:hAnsi="Century Gothic"/>
        </w:rPr>
        <w:t>PRESENTAZIONE DI CANDIDATURE PER LA DESIGNAZIONE QUALE PRESIDENTE DEL  CONSIGLIO DI AMMINISTRAZIONE/COMPONENTE DEL CONSIGLIO DI AMMINISTRAZIONE DELLA  SOCIETA’ ASEP SRL  DI PORTO MANTOVANO</w:t>
      </w:r>
      <w:r w:rsidRPr="00BC161B">
        <w:rPr>
          <w:rFonts w:ascii="Century Gothic" w:eastAsia="Calibri" w:hAnsi="Century Gothic" w:cs="TimesNewRomanUnicode"/>
          <w:sz w:val="24"/>
          <w:szCs w:val="24"/>
          <w:lang w:eastAsia="en-US"/>
        </w:rPr>
        <w:t xml:space="preserve">” </w:t>
      </w:r>
    </w:p>
    <w:p w:rsidR="009C6981" w:rsidRPr="00BC161B" w:rsidRDefault="009C6981" w:rsidP="009C6981">
      <w:pPr>
        <w:autoSpaceDE w:val="0"/>
        <w:autoSpaceDN w:val="0"/>
        <w:adjustRightInd w:val="0"/>
        <w:jc w:val="both"/>
        <w:rPr>
          <w:rFonts w:ascii="Century Gothic" w:eastAsia="Calibri" w:hAnsi="Century Gothic" w:cs="Arial"/>
          <w:i/>
          <w:iCs/>
          <w:sz w:val="24"/>
          <w:szCs w:val="24"/>
          <w:lang w:eastAsia="en-US"/>
        </w:rPr>
      </w:pPr>
    </w:p>
    <w:p w:rsidR="009C6981" w:rsidRPr="00BC161B" w:rsidRDefault="009C6981" w:rsidP="009C6981">
      <w:pPr>
        <w:autoSpaceDE w:val="0"/>
        <w:autoSpaceDN w:val="0"/>
        <w:adjustRightInd w:val="0"/>
        <w:rPr>
          <w:rFonts w:ascii="Century Gothic" w:eastAsia="Calibri" w:hAnsi="Century Gothic" w:cs="Arial"/>
          <w:i/>
          <w:iCs/>
          <w:sz w:val="18"/>
          <w:szCs w:val="18"/>
          <w:lang w:eastAsia="en-US"/>
        </w:rPr>
      </w:pPr>
    </w:p>
    <w:p w:rsidR="009C6981" w:rsidRPr="00BC161B" w:rsidRDefault="009C6981" w:rsidP="009C6981">
      <w:pPr>
        <w:autoSpaceDE w:val="0"/>
        <w:autoSpaceDN w:val="0"/>
        <w:adjustRightInd w:val="0"/>
        <w:rPr>
          <w:rFonts w:ascii="Century Gothic" w:eastAsia="Calibri" w:hAnsi="Century Gothic" w:cs="Arial"/>
          <w:b/>
          <w:bCs/>
          <w:lang w:eastAsia="en-US"/>
        </w:rPr>
      </w:pPr>
      <w:r w:rsidRPr="00BC161B">
        <w:rPr>
          <w:rFonts w:ascii="Century Gothic" w:hAnsi="Century Gothic"/>
          <w:b/>
        </w:rPr>
        <w:t>Informativa sul trattamento dei dati personali</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Ai sensi dell’art. 13 del Regolamento europeo n. 679/2016, il Comune di Porto Mantovano, in qualità di “Titolare” del trattamento, fornisce le seguenti informazioni in merito all’utilizzo dei dati personali richiesti per la partecipazione all’avviso pubblico. </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i/>
        </w:rPr>
        <w:t>Titolare del Trattamento</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 Il Titolare del trattamento dei dati personali di cui alla presente Informativa è il Comune di Porto Mantovano, con sede in piazza Strada Statele </w:t>
      </w:r>
      <w:proofErr w:type="spellStart"/>
      <w:r w:rsidRPr="00BC161B">
        <w:rPr>
          <w:rFonts w:ascii="Century Gothic" w:hAnsi="Century Gothic"/>
        </w:rPr>
        <w:t>Cisa</w:t>
      </w:r>
      <w:proofErr w:type="spellEnd"/>
      <w:r w:rsidRPr="00BC161B">
        <w:rPr>
          <w:rFonts w:ascii="Century Gothic" w:hAnsi="Century Gothic"/>
        </w:rPr>
        <w:t xml:space="preserve"> n. 112. </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i/>
        </w:rPr>
        <w:t>Responsabile della protezione dei dati personali</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 Il Comune di Porto Mantovano ha designato quale Responsabile della protezione dei dati </w:t>
      </w:r>
      <w:proofErr w:type="spellStart"/>
      <w:r w:rsidRPr="00BC161B">
        <w:rPr>
          <w:rFonts w:ascii="Century Gothic" w:hAnsi="Century Gothic"/>
        </w:rPr>
        <w:t>Boxxapps</w:t>
      </w:r>
      <w:proofErr w:type="spellEnd"/>
      <w:r w:rsidRPr="00BC161B">
        <w:rPr>
          <w:rFonts w:ascii="Century Gothic" w:hAnsi="Century Gothic"/>
        </w:rPr>
        <w:t xml:space="preserve"> s.r.l. - - Società unipersonale sottoposta a controllo e coordinamento da parte di Halley Veneto s.r.l. Viale della Stazione, 2 - 30020 Marcon (VE) - P. IVA 04155080270 Reg. Imprese 04155080270 REA Venezia 370233 - </w:t>
      </w:r>
      <w:proofErr w:type="spellStart"/>
      <w:r w:rsidRPr="00BC161B">
        <w:rPr>
          <w:rFonts w:ascii="Century Gothic" w:hAnsi="Century Gothic"/>
        </w:rPr>
        <w:t>pec</w:t>
      </w:r>
      <w:proofErr w:type="spellEnd"/>
      <w:r w:rsidRPr="00BC161B">
        <w:rPr>
          <w:rFonts w:ascii="Century Gothic" w:hAnsi="Century Gothic"/>
        </w:rPr>
        <w:t xml:space="preserve">: </w:t>
      </w:r>
      <w:hyperlink r:id="rId6" w:history="1">
        <w:r w:rsidRPr="00BC161B">
          <w:rPr>
            <w:rFonts w:ascii="Century Gothic" w:hAnsi="Century Gothic"/>
          </w:rPr>
          <w:t>boxxapps@legalmail.it</w:t>
        </w:r>
      </w:hyperlink>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i/>
        </w:rPr>
        <w:t>Responsabili del trattamento</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 Il Comune di Porto Mantovano può avvalersi di soggetti terzi per l’espletamento di attività e relativi trattamenti di dati personali di cui abbia la titolarità. Conformemente a quanto stabilito dalla normativa, tali soggetti assicurano livelli esperienza, capacità e affidabilità tali da garantire il rispetto delle vigenti disposizioni in materia di trattamento, ivi compreso il profilo della sicurezza dei dati.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Vengono formalizzate da parte del Comune istruzioni, compiti ed oneri in capo a tali soggetti terzi con la designazione degli stessi a "Responsabili del trattamento"; tali soggetti vengono sottoposti a verifiche periodiche al fine di constatare il mantenimento dei livelli di garanzia registrati in occasione dell’affidamento dell’incarico iniziale. </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i/>
        </w:rPr>
        <w:t>Soggetti autorizzati al trattamento</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 I dati personali forniti sono trattati da personale interno previamente autorizzato e designato quale incaricato del trattamento, a cui sono impartite idonee istruzioni in ordine a misure, accorgimenti, modus operandi, tutti volti alla concreta tutela dei dati personali forniti. </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widowControl w:val="0"/>
        <w:autoSpaceDE w:val="0"/>
        <w:autoSpaceDN w:val="0"/>
        <w:adjustRightInd w:val="0"/>
        <w:rPr>
          <w:rFonts w:ascii="Century Gothic" w:hAnsi="Century Gothic"/>
          <w:b/>
          <w:bCs/>
          <w:i/>
        </w:rPr>
      </w:pPr>
      <w:r w:rsidRPr="00BC161B">
        <w:rPr>
          <w:rFonts w:ascii="Century Gothic" w:hAnsi="Century Gothic"/>
          <w:i/>
        </w:rPr>
        <w:t>Finalità e base giuridica del trattamento</w:t>
      </w:r>
      <w:r w:rsidRPr="00BC161B">
        <w:rPr>
          <w:rFonts w:ascii="Century Gothic" w:hAnsi="Century Gothic"/>
        </w:rPr>
        <w:t xml:space="preserve"> - </w:t>
      </w:r>
      <w:r w:rsidRPr="00BC161B">
        <w:rPr>
          <w:rFonts w:ascii="Century Gothic" w:hAnsi="Century Gothic"/>
          <w:i/>
        </w:rPr>
        <w:t>V</w:t>
      </w:r>
      <w:r w:rsidRPr="00BC161B">
        <w:rPr>
          <w:rFonts w:ascii="Century Gothic" w:hAnsi="Century Gothic"/>
          <w:bCs/>
          <w:i/>
        </w:rPr>
        <w:t>eridicità dei dati comunicati</w:t>
      </w:r>
      <w:r w:rsidRPr="00BC161B">
        <w:rPr>
          <w:rFonts w:ascii="Century Gothic" w:hAnsi="Century Gothic"/>
          <w:b/>
          <w:bCs/>
          <w:i/>
        </w:rPr>
        <w:t xml:space="preserve"> </w:t>
      </w:r>
    </w:p>
    <w:p w:rsidR="009C6981" w:rsidRPr="00BC161B" w:rsidRDefault="009C6981" w:rsidP="009C6981">
      <w:pPr>
        <w:widowControl w:val="0"/>
        <w:autoSpaceDE w:val="0"/>
        <w:autoSpaceDN w:val="0"/>
        <w:adjustRightInd w:val="0"/>
        <w:jc w:val="both"/>
        <w:rPr>
          <w:rFonts w:ascii="Century Gothic" w:hAnsi="Century Gothic"/>
        </w:rPr>
      </w:pPr>
      <w:r w:rsidRPr="00BC161B">
        <w:rPr>
          <w:rFonts w:ascii="Century Gothic" w:hAnsi="Century Gothic"/>
        </w:rPr>
        <w:t xml:space="preserve">Il trattamento dei dati personali forniti viene effettuato dal Comune di Porto Mantovano per lo svolgimento di funzioni istituzionali e, pertanto, ai sensi dell’art. 6 comma 1 lett. e) del GDPR non necessita del consenso dell’interessato. I dati personali saranno trattati per verificare il possesso dei requisiti di legge per la partecipazione ad avvisi pubblici e per ricevere contributi da Enti Pubblici.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Fermo restando che la comunicazione di dati non veritieri determina l’irrogazione di sanzioni amministrative, fatta salva l’eventuale rilevanza penale della relativa condotta, ai sensi dell’articolo 76 del D.P.R. 28 dicembre 2000 n. 445, </w:t>
      </w:r>
      <w:r w:rsidRPr="00BC161B">
        <w:rPr>
          <w:rFonts w:ascii="Century Gothic" w:hAnsi="Century Gothic"/>
          <w:bCs/>
        </w:rPr>
        <w:t>la comunicazione dei suoi dati personali è necessaria ai fini della valutazione dei requisiti di partecipazione al bando, pena l’esclusione dalla procedura di assegnazione</w:t>
      </w:r>
      <w:r w:rsidRPr="00BC161B">
        <w:rPr>
          <w:rFonts w:ascii="Century Gothic" w:hAnsi="Century Gothic"/>
        </w:rPr>
        <w:t>.</w:t>
      </w:r>
    </w:p>
    <w:p w:rsidR="009C6981" w:rsidRPr="00BC161B" w:rsidRDefault="009C6981" w:rsidP="009C6981">
      <w:pPr>
        <w:widowControl w:val="0"/>
        <w:autoSpaceDE w:val="0"/>
        <w:autoSpaceDN w:val="0"/>
        <w:adjustRightInd w:val="0"/>
        <w:jc w:val="both"/>
        <w:rPr>
          <w:rFonts w:ascii="Century Gothic" w:hAnsi="Century Gothic"/>
        </w:rPr>
      </w:pPr>
      <w:r w:rsidRPr="00BC161B">
        <w:rPr>
          <w:rFonts w:ascii="Century Gothic" w:hAnsi="Century Gothic"/>
        </w:rPr>
        <w:t>La informiamo che, ove necessario per il perseguimento delle finalità e dell’adempimento degli obblighi specificati, il Comune di Porto Mantovano potrà raccogliere presso altre pubbliche amministrazioni o enti pubblici e privati altre categorie di Suoi dati personali.</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autoSpaceDE w:val="0"/>
        <w:autoSpaceDN w:val="0"/>
        <w:adjustRightInd w:val="0"/>
        <w:rPr>
          <w:rFonts w:ascii="Century Gothic" w:hAnsi="Century Gothic"/>
          <w:i/>
        </w:rPr>
      </w:pPr>
      <w:r w:rsidRPr="00BC161B">
        <w:rPr>
          <w:rFonts w:ascii="Century Gothic" w:hAnsi="Century Gothic"/>
          <w:bCs/>
          <w:i/>
        </w:rPr>
        <w:t xml:space="preserve">Ambito di comunicazione e diffusione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I suoi dati personali non saranno oggetto di diffusione senza Suo esplicito consenso, tuttavia, se necessario, potranno essere comunicati: </w:t>
      </w:r>
    </w:p>
    <w:p w:rsidR="009C6981" w:rsidRPr="00BC161B" w:rsidRDefault="009C6981" w:rsidP="009C6981">
      <w:pPr>
        <w:numPr>
          <w:ilvl w:val="0"/>
          <w:numId w:val="2"/>
        </w:numPr>
        <w:autoSpaceDE w:val="0"/>
        <w:autoSpaceDN w:val="0"/>
        <w:adjustRightInd w:val="0"/>
        <w:spacing w:after="246"/>
        <w:jc w:val="both"/>
        <w:rPr>
          <w:rFonts w:ascii="Century Gothic" w:hAnsi="Century Gothic"/>
        </w:rPr>
      </w:pPr>
      <w:r w:rsidRPr="00BC161B">
        <w:rPr>
          <w:rFonts w:ascii="Century Gothic" w:hAnsi="Century Gothic"/>
        </w:rPr>
        <w:lastRenderedPageBreak/>
        <w:t xml:space="preserve">a) ai soggetti cui la comunicazione dovrà essere effettuata in adempimento ad un obbligo previsto dalla normativa nazionale e/o comunitaria ovvero per adempiere ad un ordine dell’Autorità Giudiziaria; </w:t>
      </w:r>
    </w:p>
    <w:p w:rsidR="009C6981" w:rsidRPr="00BC161B" w:rsidRDefault="009C6981" w:rsidP="009C6981">
      <w:pPr>
        <w:numPr>
          <w:ilvl w:val="0"/>
          <w:numId w:val="2"/>
        </w:numPr>
        <w:autoSpaceDE w:val="0"/>
        <w:autoSpaceDN w:val="0"/>
        <w:adjustRightInd w:val="0"/>
        <w:spacing w:after="246"/>
        <w:jc w:val="both"/>
        <w:rPr>
          <w:rFonts w:ascii="Century Gothic" w:hAnsi="Century Gothic"/>
        </w:rPr>
      </w:pPr>
      <w:r w:rsidRPr="00BC161B">
        <w:rPr>
          <w:rFonts w:ascii="Century Gothic" w:hAnsi="Century Gothic"/>
        </w:rPr>
        <w:t xml:space="preserve">b) ai soggetti designati dal Titolare, in qualità di Responsabile del trattamento. Il Responsabile del trattamento è impegnato </w:t>
      </w:r>
      <w:r w:rsidRPr="00BC161B">
        <w:rPr>
          <w:rFonts w:ascii="Century Gothic" w:hAnsi="Century Gothic"/>
          <w:bCs/>
        </w:rPr>
        <w:t>dal Titolare del trattamento</w:t>
      </w:r>
      <w:r w:rsidRPr="00BC161B">
        <w:rPr>
          <w:rFonts w:ascii="Century Gothic" w:hAnsi="Century Gothic"/>
          <w:b/>
          <w:bCs/>
        </w:rPr>
        <w:t xml:space="preserve"> </w:t>
      </w:r>
      <w:r w:rsidRPr="00BC161B">
        <w:rPr>
          <w:rFonts w:ascii="Century Gothic" w:hAnsi="Century Gothic"/>
        </w:rPr>
        <w:t xml:space="preserve">a garantire misure organizzative e tecniche idonee alla tutela dei dati personali trattati; </w:t>
      </w:r>
    </w:p>
    <w:p w:rsidR="009C6981" w:rsidRPr="00BC161B" w:rsidRDefault="009C6981" w:rsidP="009C6981">
      <w:pPr>
        <w:numPr>
          <w:ilvl w:val="0"/>
          <w:numId w:val="2"/>
        </w:numPr>
        <w:autoSpaceDE w:val="0"/>
        <w:autoSpaceDN w:val="0"/>
        <w:adjustRightInd w:val="0"/>
        <w:spacing w:after="246"/>
        <w:jc w:val="both"/>
        <w:rPr>
          <w:rFonts w:ascii="Century Gothic" w:hAnsi="Century Gothic"/>
        </w:rPr>
      </w:pPr>
      <w:r w:rsidRPr="00BC161B">
        <w:rPr>
          <w:rFonts w:ascii="Century Gothic" w:hAnsi="Century Gothic"/>
        </w:rPr>
        <w:t xml:space="preserve">c) ai soggetti autorizzati al trattamento dei dati personali direttamente dal Titolare del trattamento o dal Responsabile del trattamento, il quale non potrà delegare a terzi il trattamento dei dati in assenza di previa autorizzazione scritta del Titolare del trattamento; </w:t>
      </w:r>
    </w:p>
    <w:p w:rsidR="009C6981" w:rsidRPr="00BC161B" w:rsidRDefault="009C6981" w:rsidP="009C6981">
      <w:pPr>
        <w:numPr>
          <w:ilvl w:val="0"/>
          <w:numId w:val="2"/>
        </w:numPr>
        <w:autoSpaceDE w:val="0"/>
        <w:autoSpaceDN w:val="0"/>
        <w:adjustRightInd w:val="0"/>
        <w:jc w:val="both"/>
        <w:rPr>
          <w:rFonts w:ascii="Century Gothic" w:hAnsi="Century Gothic"/>
        </w:rPr>
      </w:pPr>
      <w:r w:rsidRPr="00BC161B">
        <w:rPr>
          <w:rFonts w:ascii="Century Gothic" w:hAnsi="Century Gothic"/>
        </w:rPr>
        <w:t xml:space="preserve">d) ad altri eventuali soggetti terzi, nel rispetto delle vigenti disposizioni in materia di protezione dei dati personali, nei casi espressamente previsti dalla legge o quando la comunicazione si renda necessaria per la tutela del Dipartimento in sede giudiziaria. </w:t>
      </w:r>
    </w:p>
    <w:p w:rsidR="009C6981" w:rsidRPr="00BC161B" w:rsidRDefault="009C6981" w:rsidP="009C6981">
      <w:pPr>
        <w:autoSpaceDE w:val="0"/>
        <w:autoSpaceDN w:val="0"/>
        <w:adjustRightInd w:val="0"/>
        <w:jc w:val="both"/>
        <w:rPr>
          <w:rFonts w:ascii="Century Gothic" w:hAnsi="Century Gothic"/>
          <w:i/>
        </w:rPr>
      </w:pP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rPr>
        <w:t>I dati personali raccolti potranno essere comunicati agli uffici INPS/INAIL per i controlli di legge.</w:t>
      </w:r>
    </w:p>
    <w:p w:rsidR="009C6981" w:rsidRPr="00BC161B" w:rsidRDefault="009C6981" w:rsidP="009C6981">
      <w:pPr>
        <w:autoSpaceDE w:val="0"/>
        <w:autoSpaceDN w:val="0"/>
        <w:adjustRightInd w:val="0"/>
        <w:jc w:val="both"/>
        <w:rPr>
          <w:rFonts w:ascii="Century Gothic" w:hAnsi="Century Gothic"/>
          <w:i/>
        </w:rPr>
      </w:pP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i/>
        </w:rPr>
        <w:t xml:space="preserve">Trasferimento dei dati personali a Paesi extra UE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I dati personali raccolti non verranno trasferiti al di fuori dell’Unione europea. </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widowControl w:val="0"/>
        <w:autoSpaceDE w:val="0"/>
        <w:autoSpaceDN w:val="0"/>
        <w:adjustRightInd w:val="0"/>
        <w:jc w:val="both"/>
        <w:rPr>
          <w:rFonts w:ascii="Century Gothic" w:hAnsi="Century Gothic"/>
          <w:i/>
        </w:rPr>
      </w:pPr>
      <w:r w:rsidRPr="00BC161B">
        <w:rPr>
          <w:rFonts w:ascii="Century Gothic" w:hAnsi="Century Gothic"/>
          <w:i/>
        </w:rPr>
        <w:t>Periodo di conservazione</w:t>
      </w:r>
    </w:p>
    <w:p w:rsidR="009C6981" w:rsidRPr="00BC161B" w:rsidRDefault="009C6981" w:rsidP="009C6981">
      <w:pPr>
        <w:widowControl w:val="0"/>
        <w:autoSpaceDE w:val="0"/>
        <w:autoSpaceDN w:val="0"/>
        <w:adjustRightInd w:val="0"/>
        <w:jc w:val="both"/>
        <w:rPr>
          <w:rFonts w:ascii="Century Gothic" w:hAnsi="Century Gothic"/>
        </w:rPr>
      </w:pPr>
      <w:r w:rsidRPr="00BC161B">
        <w:rPr>
          <w:rFonts w:ascii="Century Gothic" w:hAnsi="Century Gothic"/>
        </w:rPr>
        <w:t xml:space="preserve"> I dati raccolti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Si informa che ove non definito un termine ultimo per la cancellazione dei dati, gli stessi restano conservati a disposizione dell’Autorità giudiziaria e/o per motivi di interesse storico, culturale e statistico.</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autoSpaceDE w:val="0"/>
        <w:autoSpaceDN w:val="0"/>
        <w:adjustRightInd w:val="0"/>
        <w:rPr>
          <w:rFonts w:ascii="Century Gothic" w:hAnsi="Century Gothic"/>
          <w:i/>
        </w:rPr>
      </w:pPr>
      <w:r w:rsidRPr="00BC161B">
        <w:rPr>
          <w:rFonts w:ascii="Century Gothic" w:hAnsi="Century Gothic"/>
          <w:bCs/>
          <w:i/>
        </w:rPr>
        <w:t xml:space="preserve">Categorie particolari di dati personali </w:t>
      </w: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rPr>
        <w:t>Ai sensi degli articoli 9 e 10 del Regolamento UE n. 2016/679, Lei potrebbe conferire, al Comune di Porto Mantovano dati qualificabili come “categorie particolari di dati personali” e cioè quei dati che rivelano “</w:t>
      </w:r>
      <w:r w:rsidRPr="00BC161B">
        <w:rPr>
          <w:rFonts w:ascii="Century Gothic" w:hAnsi="Century Gothic"/>
          <w:i/>
          <w:iCs/>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BC161B">
        <w:rPr>
          <w:rFonts w:ascii="Century Gothic" w:hAnsi="Century Gothic"/>
        </w:rPr>
        <w:t>”. Tali categorie di dati potranno essere trattate dal Comune di Porto Mantovano solo previo Suo libero ed esplicito consenso, manifestato in forma scritta in calce alla presente informativa.</w:t>
      </w:r>
    </w:p>
    <w:p w:rsidR="009C6981" w:rsidRPr="00BC161B" w:rsidRDefault="009C6981" w:rsidP="009C6981">
      <w:pPr>
        <w:autoSpaceDE w:val="0"/>
        <w:autoSpaceDN w:val="0"/>
        <w:adjustRightInd w:val="0"/>
        <w:jc w:val="both"/>
        <w:rPr>
          <w:rFonts w:ascii="Century Gothic" w:hAnsi="Century Gothic"/>
          <w:i/>
        </w:rPr>
      </w:pP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i/>
        </w:rPr>
        <w:t>I diritti dell’interessato</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Nella loro qualità di interessati, i partecipanti all’avviso hanno diritto ai sensi degli articoli dal 15 al 22 del Regolamento UE n. 2016/679:</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 </w:t>
      </w:r>
      <w:r w:rsidRPr="00BC161B">
        <w:rPr>
          <w:rFonts w:ascii="Century Gothic" w:hAnsi="Century Gothic"/>
        </w:rPr>
        <w:sym w:font="Symbol" w:char="F0B7"/>
      </w:r>
      <w:r w:rsidRPr="00BC161B">
        <w:rPr>
          <w:rFonts w:ascii="Century Gothic" w:hAnsi="Century Gothic"/>
        </w:rPr>
        <w:t xml:space="preserve"> di accesso ai dati personali;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sym w:font="Symbol" w:char="F0B7"/>
      </w:r>
      <w:r w:rsidRPr="00BC161B">
        <w:rPr>
          <w:rFonts w:ascii="Century Gothic" w:hAnsi="Century Gothic"/>
        </w:rPr>
        <w:t xml:space="preserve"> di ottenere la rettifica o la cancellazione degli stessi o la limitazione del trattamento che lo riguardano;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sym w:font="Symbol" w:char="F0B7"/>
      </w:r>
      <w:r w:rsidRPr="00BC161B">
        <w:rPr>
          <w:rFonts w:ascii="Century Gothic" w:hAnsi="Century Gothic"/>
        </w:rPr>
        <w:t xml:space="preserve"> di opporsi al trattamento;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sym w:font="Symbol" w:char="F0B7"/>
      </w:r>
      <w:r w:rsidRPr="00BC161B">
        <w:rPr>
          <w:rFonts w:ascii="Century Gothic" w:hAnsi="Century Gothic"/>
        </w:rPr>
        <w:t xml:space="preserve"> di proporre reclamo al Garante per la protezione dei dati personali. Al fine di semplificare le modalità di inoltro e ridurre i tempi per il riscontro si invita a presentare eventuali richieste, di cui al paragrafo che precede, al Comune di Porto Mantovano al seguente indirizzo di posta elettronica certificata: </w:t>
      </w:r>
      <w:hyperlink r:id="rId7" w:history="1">
        <w:r w:rsidRPr="00BC161B">
          <w:rPr>
            <w:rFonts w:ascii="Century Gothic" w:hAnsi="Century Gothic"/>
            <w:u w:val="single"/>
          </w:rPr>
          <w:t>comuneportomantovano@legalmail.it</w:t>
        </w:r>
      </w:hyperlink>
      <w:r w:rsidRPr="00BC161B">
        <w:rPr>
          <w:rFonts w:ascii="Century Gothic" w:hAnsi="Century Gothic"/>
        </w:rPr>
        <w:t xml:space="preserve">. </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autoSpaceDE w:val="0"/>
        <w:autoSpaceDN w:val="0"/>
        <w:adjustRightInd w:val="0"/>
        <w:jc w:val="both"/>
        <w:rPr>
          <w:rFonts w:ascii="Century Gothic" w:hAnsi="Century Gothic"/>
          <w:i/>
        </w:rPr>
      </w:pPr>
    </w:p>
    <w:p w:rsidR="009C6981" w:rsidRPr="00BC161B" w:rsidRDefault="009C6981" w:rsidP="009C6981">
      <w:pPr>
        <w:autoSpaceDE w:val="0"/>
        <w:autoSpaceDN w:val="0"/>
        <w:adjustRightInd w:val="0"/>
        <w:jc w:val="both"/>
        <w:rPr>
          <w:rFonts w:ascii="Century Gothic" w:hAnsi="Century Gothic"/>
          <w:i/>
        </w:rPr>
      </w:pP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i/>
        </w:rPr>
        <w:t>Conferimento dei dati</w:t>
      </w:r>
      <w:r w:rsidRPr="00BC161B">
        <w:rPr>
          <w:rFonts w:ascii="Century Gothic" w:hAnsi="Century Gothic"/>
        </w:rPr>
        <w:t xml:space="preserve">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lastRenderedPageBreak/>
        <w:t>Il conferimento dei dati è facoltativo, ma necessario per le finalità sopra indicate. Il mancato conferimento comporterà l’impossibilità di partecipare all’avviso.</w:t>
      </w:r>
    </w:p>
    <w:p w:rsidR="009C6981" w:rsidRPr="00BC161B" w:rsidRDefault="009C6981" w:rsidP="009C6981">
      <w:pPr>
        <w:autoSpaceDE w:val="0"/>
        <w:autoSpaceDN w:val="0"/>
        <w:adjustRightInd w:val="0"/>
        <w:jc w:val="both"/>
        <w:rPr>
          <w:rFonts w:ascii="Century Gothic" w:eastAsia="Calibri" w:hAnsi="Century Gothic" w:cs="Arial"/>
          <w:b/>
          <w:sz w:val="24"/>
          <w:szCs w:val="24"/>
          <w:lang w:eastAsia="en-US"/>
        </w:rPr>
      </w:pPr>
    </w:p>
    <w:p w:rsidR="009C6981" w:rsidRPr="00BC161B" w:rsidRDefault="009C6981" w:rsidP="009C6981">
      <w:pPr>
        <w:autoSpaceDE w:val="0"/>
        <w:autoSpaceDN w:val="0"/>
        <w:adjustRightInd w:val="0"/>
        <w:jc w:val="both"/>
        <w:rPr>
          <w:rFonts w:ascii="Century Gothic" w:eastAsia="Calibri" w:hAnsi="Century Gothic" w:cs="Arial"/>
          <w:b/>
          <w:sz w:val="24"/>
          <w:szCs w:val="24"/>
          <w:lang w:eastAsia="en-US"/>
        </w:rPr>
      </w:pPr>
    </w:p>
    <w:p w:rsidR="009C6981" w:rsidRPr="00BC161B" w:rsidRDefault="009C6981" w:rsidP="009C6981">
      <w:pPr>
        <w:autoSpaceDE w:val="0"/>
        <w:autoSpaceDN w:val="0"/>
        <w:adjustRightInd w:val="0"/>
        <w:jc w:val="both"/>
        <w:rPr>
          <w:rFonts w:ascii="Century Gothic" w:eastAsia="Calibri" w:hAnsi="Century Gothic" w:cs="Arial"/>
          <w:b/>
          <w:sz w:val="24"/>
          <w:szCs w:val="24"/>
          <w:lang w:eastAsia="en-US"/>
        </w:rPr>
      </w:pPr>
      <w:r w:rsidRPr="00BC161B">
        <w:rPr>
          <w:rFonts w:ascii="Century Gothic" w:eastAsia="Calibri" w:hAnsi="Century Gothic" w:cs="Arial"/>
          <w:b/>
          <w:sz w:val="24"/>
          <w:szCs w:val="24"/>
          <w:lang w:eastAsia="en-US"/>
        </w:rPr>
        <w:t>Io sottoscritto/a …………………………………</w:t>
      </w:r>
      <w:proofErr w:type="gramStart"/>
      <w:r w:rsidRPr="00BC161B">
        <w:rPr>
          <w:rFonts w:ascii="Century Gothic" w:eastAsia="Calibri" w:hAnsi="Century Gothic" w:cs="Arial"/>
          <w:b/>
          <w:sz w:val="24"/>
          <w:szCs w:val="24"/>
          <w:lang w:eastAsia="en-US"/>
        </w:rPr>
        <w:t>…….</w:t>
      </w:r>
      <w:proofErr w:type="gramEnd"/>
      <w:r w:rsidRPr="00BC161B">
        <w:rPr>
          <w:rFonts w:ascii="Century Gothic" w:eastAsia="Calibri" w:hAnsi="Century Gothic" w:cs="Arial"/>
          <w:b/>
          <w:sz w:val="24"/>
          <w:szCs w:val="24"/>
          <w:lang w:eastAsia="en-US"/>
        </w:rPr>
        <w:t xml:space="preserve"> dichiaro di aver ricevuto l’informativa che precede. </w:t>
      </w:r>
    </w:p>
    <w:p w:rsidR="009C6981" w:rsidRPr="00BC161B" w:rsidRDefault="009C6981" w:rsidP="009C6981">
      <w:pPr>
        <w:autoSpaceDE w:val="0"/>
        <w:autoSpaceDN w:val="0"/>
        <w:adjustRightInd w:val="0"/>
        <w:jc w:val="both"/>
        <w:rPr>
          <w:rFonts w:ascii="Century Gothic" w:eastAsia="Calibri" w:hAnsi="Century Gothic" w:cs="Arial"/>
          <w:sz w:val="24"/>
          <w:szCs w:val="24"/>
          <w:lang w:eastAsia="en-US"/>
        </w:rPr>
      </w:pPr>
    </w:p>
    <w:p w:rsidR="009C6981" w:rsidRPr="00BC161B" w:rsidRDefault="009C6981" w:rsidP="009C6981">
      <w:pPr>
        <w:autoSpaceDE w:val="0"/>
        <w:autoSpaceDN w:val="0"/>
        <w:adjustRightInd w:val="0"/>
        <w:rPr>
          <w:rFonts w:ascii="Century Gothic" w:eastAsia="Calibri" w:hAnsi="Century Gothic" w:cs="Arial"/>
          <w:b/>
          <w:bCs/>
          <w:sz w:val="24"/>
          <w:szCs w:val="24"/>
          <w:lang w:eastAsia="en-US"/>
        </w:rPr>
      </w:pPr>
      <w:r w:rsidRPr="00BC161B">
        <w:rPr>
          <w:rFonts w:ascii="Century Gothic" w:eastAsia="Calibri" w:hAnsi="Century Gothic" w:cs="Arial"/>
          <w:b/>
          <w:bCs/>
          <w:sz w:val="24"/>
          <w:szCs w:val="24"/>
          <w:lang w:eastAsia="en-US"/>
        </w:rPr>
        <w:t>_________ ______________________ ______________</w:t>
      </w:r>
    </w:p>
    <w:p w:rsidR="009C6981" w:rsidRPr="00BC161B" w:rsidRDefault="009C6981" w:rsidP="009C6981">
      <w:pPr>
        <w:autoSpaceDE w:val="0"/>
        <w:autoSpaceDN w:val="0"/>
        <w:adjustRightInd w:val="0"/>
        <w:rPr>
          <w:rFonts w:ascii="Century Gothic" w:eastAsia="Calibri" w:hAnsi="Century Gothic" w:cs="Arial"/>
          <w:lang w:eastAsia="en-US"/>
        </w:rPr>
      </w:pPr>
      <w:r w:rsidRPr="00BC161B">
        <w:rPr>
          <w:rFonts w:ascii="Century Gothic" w:eastAsia="Calibri" w:hAnsi="Century Gothic" w:cs="Arial"/>
          <w:lang w:eastAsia="en-US"/>
        </w:rPr>
        <w:t>(luogo e data)</w:t>
      </w:r>
    </w:p>
    <w:p w:rsidR="009C6981" w:rsidRPr="00BC161B" w:rsidRDefault="009C6981" w:rsidP="009C6981">
      <w:pPr>
        <w:autoSpaceDE w:val="0"/>
        <w:autoSpaceDN w:val="0"/>
        <w:adjustRightInd w:val="0"/>
        <w:rPr>
          <w:rFonts w:ascii="Century Gothic" w:eastAsia="Calibri" w:hAnsi="Century Gothic" w:cs="Arial"/>
          <w:lang w:eastAsia="en-US"/>
        </w:rPr>
      </w:pPr>
    </w:p>
    <w:p w:rsidR="009C6981" w:rsidRPr="00BC161B" w:rsidRDefault="009C6981" w:rsidP="009C6981">
      <w:pPr>
        <w:autoSpaceDE w:val="0"/>
        <w:autoSpaceDN w:val="0"/>
        <w:adjustRightInd w:val="0"/>
        <w:rPr>
          <w:rFonts w:ascii="Century Gothic" w:eastAsia="Calibri" w:hAnsi="Century Gothic" w:cs="Arial"/>
          <w:lang w:eastAsia="en-US"/>
        </w:rPr>
      </w:pPr>
    </w:p>
    <w:p w:rsidR="009C6981" w:rsidRPr="00BC161B" w:rsidRDefault="009C6981" w:rsidP="009C6981">
      <w:pPr>
        <w:autoSpaceDE w:val="0"/>
        <w:autoSpaceDN w:val="0"/>
        <w:adjustRightInd w:val="0"/>
        <w:rPr>
          <w:rFonts w:ascii="Century Gothic" w:eastAsia="Calibri" w:hAnsi="Century Gothic" w:cs="Arial"/>
          <w:lang w:eastAsia="en-US"/>
        </w:rPr>
      </w:pPr>
      <w:r w:rsidRPr="00BC161B">
        <w:rPr>
          <w:rFonts w:ascii="Century Gothic" w:eastAsia="Calibri" w:hAnsi="Century Gothic" w:cs="Arial"/>
          <w:lang w:eastAsia="en-US"/>
        </w:rPr>
        <w:t>_________________________________________________________</w:t>
      </w:r>
    </w:p>
    <w:p w:rsidR="009C6981" w:rsidRPr="00BC161B" w:rsidRDefault="009C6981" w:rsidP="009C6981">
      <w:pPr>
        <w:autoSpaceDE w:val="0"/>
        <w:autoSpaceDN w:val="0"/>
        <w:adjustRightInd w:val="0"/>
        <w:rPr>
          <w:rFonts w:ascii="Century Gothic" w:eastAsia="Calibri" w:hAnsi="Century Gothic" w:cs="Arial"/>
          <w:sz w:val="24"/>
          <w:szCs w:val="24"/>
          <w:lang w:eastAsia="en-US"/>
        </w:rPr>
      </w:pPr>
      <w:r w:rsidRPr="00BC161B">
        <w:rPr>
          <w:rFonts w:ascii="Century Gothic" w:eastAsia="Calibri" w:hAnsi="Century Gothic" w:cs="Arial"/>
          <w:sz w:val="24"/>
          <w:szCs w:val="24"/>
          <w:lang w:eastAsia="en-US"/>
        </w:rPr>
        <w:t xml:space="preserve"> </w:t>
      </w:r>
      <w:r w:rsidRPr="00BC161B">
        <w:rPr>
          <w:rFonts w:ascii="Century Gothic" w:eastAsia="Calibri" w:hAnsi="Century Gothic" w:cs="Arial"/>
          <w:sz w:val="24"/>
          <w:szCs w:val="24"/>
          <w:highlight w:val="lightGray"/>
          <w:lang w:eastAsia="en-US"/>
        </w:rPr>
        <w:t>(</w:t>
      </w:r>
      <w:r w:rsidRPr="00BC161B">
        <w:rPr>
          <w:rFonts w:ascii="Century Gothic" w:eastAsia="Calibri" w:hAnsi="Century Gothic" w:cs="Arial"/>
          <w:b/>
          <w:sz w:val="24"/>
          <w:szCs w:val="24"/>
          <w:highlight w:val="lightGray"/>
          <w:lang w:eastAsia="en-US"/>
        </w:rPr>
        <w:t>Firma</w:t>
      </w:r>
      <w:r w:rsidRPr="00BC161B">
        <w:rPr>
          <w:rFonts w:ascii="Century Gothic" w:eastAsia="Calibri" w:hAnsi="Century Gothic" w:cs="Arial"/>
          <w:sz w:val="24"/>
          <w:szCs w:val="24"/>
          <w:highlight w:val="lightGray"/>
          <w:lang w:eastAsia="en-US"/>
        </w:rPr>
        <w:t>)</w:t>
      </w:r>
    </w:p>
    <w:p w:rsidR="009C6981" w:rsidRPr="00BC161B" w:rsidRDefault="009C6981" w:rsidP="009C6981">
      <w:pPr>
        <w:autoSpaceDE w:val="0"/>
        <w:autoSpaceDN w:val="0"/>
        <w:adjustRightInd w:val="0"/>
        <w:rPr>
          <w:rFonts w:ascii="Century Gothic" w:eastAsia="Calibri" w:hAnsi="Century Gothic" w:cs="Arial"/>
          <w:sz w:val="16"/>
          <w:szCs w:val="16"/>
          <w:lang w:eastAsia="en-US"/>
        </w:rPr>
      </w:pPr>
    </w:p>
    <w:p w:rsidR="009C6981" w:rsidRPr="00BC161B" w:rsidRDefault="009C6981" w:rsidP="009C6981">
      <w:pPr>
        <w:autoSpaceDE w:val="0"/>
        <w:autoSpaceDN w:val="0"/>
        <w:adjustRightInd w:val="0"/>
        <w:jc w:val="both"/>
        <w:rPr>
          <w:rFonts w:ascii="Century Gothic" w:eastAsia="Calibri" w:hAnsi="Century Gothic" w:cs="Arial"/>
          <w:b/>
          <w:bCs/>
          <w:sz w:val="22"/>
          <w:szCs w:val="22"/>
          <w:lang w:eastAsia="en-US"/>
        </w:rPr>
      </w:pPr>
    </w:p>
    <w:p w:rsidR="009C6981" w:rsidRPr="00BC161B" w:rsidRDefault="009C6981" w:rsidP="009C6981">
      <w:pPr>
        <w:autoSpaceDE w:val="0"/>
        <w:autoSpaceDN w:val="0"/>
        <w:adjustRightInd w:val="0"/>
        <w:jc w:val="both"/>
        <w:rPr>
          <w:rFonts w:ascii="Century Gothic" w:eastAsia="Calibri" w:hAnsi="Century Gothic" w:cs="Arial"/>
          <w:b/>
          <w:bCs/>
          <w:sz w:val="22"/>
          <w:szCs w:val="22"/>
          <w:lang w:eastAsia="en-US"/>
        </w:rPr>
      </w:pPr>
    </w:p>
    <w:p w:rsidR="009C6981" w:rsidRPr="00BC161B" w:rsidRDefault="009C6981" w:rsidP="009C6981">
      <w:pPr>
        <w:autoSpaceDE w:val="0"/>
        <w:autoSpaceDN w:val="0"/>
        <w:adjustRightInd w:val="0"/>
        <w:jc w:val="center"/>
        <w:rPr>
          <w:rFonts w:ascii="Century Gothic" w:eastAsia="Calibri" w:hAnsi="Century Gothic" w:cs="Arial"/>
          <w:b/>
          <w:bCs/>
          <w:sz w:val="24"/>
          <w:szCs w:val="24"/>
          <w:lang w:eastAsia="en-US"/>
        </w:rPr>
      </w:pPr>
      <w:r w:rsidRPr="00BC161B">
        <w:rPr>
          <w:rFonts w:ascii="Century Gothic" w:eastAsia="Calibri" w:hAnsi="Century Gothic" w:cs="Arial"/>
          <w:b/>
          <w:bCs/>
          <w:sz w:val="24"/>
          <w:szCs w:val="24"/>
          <w:lang w:eastAsia="en-US"/>
        </w:rPr>
        <w:t xml:space="preserve">Manifestazione del consenso ai sensi del </w:t>
      </w:r>
      <w:r w:rsidRPr="00BC161B">
        <w:rPr>
          <w:rFonts w:ascii="Century Gothic" w:hAnsi="Century Gothic"/>
          <w:b/>
          <w:sz w:val="24"/>
          <w:szCs w:val="24"/>
        </w:rPr>
        <w:t>Regolamento U.E. n. 679/2016</w:t>
      </w:r>
    </w:p>
    <w:p w:rsidR="009C6981" w:rsidRPr="00BC161B" w:rsidRDefault="009C6981" w:rsidP="009C6981">
      <w:pPr>
        <w:autoSpaceDE w:val="0"/>
        <w:autoSpaceDN w:val="0"/>
        <w:adjustRightInd w:val="0"/>
        <w:jc w:val="both"/>
        <w:rPr>
          <w:rFonts w:ascii="Century Gothic" w:eastAsia="Calibri" w:hAnsi="Century Gothic" w:cs="Arial"/>
          <w:sz w:val="24"/>
          <w:szCs w:val="24"/>
          <w:lang w:eastAsia="en-US"/>
        </w:rPr>
      </w:pPr>
    </w:p>
    <w:p w:rsidR="009C6981" w:rsidRPr="00BC161B" w:rsidRDefault="009C6981" w:rsidP="009C6981">
      <w:pPr>
        <w:autoSpaceDE w:val="0"/>
        <w:autoSpaceDN w:val="0"/>
        <w:adjustRightInd w:val="0"/>
        <w:jc w:val="both"/>
        <w:rPr>
          <w:rFonts w:ascii="Century Gothic" w:eastAsia="Calibri" w:hAnsi="Century Gothic" w:cs="Arial"/>
          <w:sz w:val="24"/>
          <w:szCs w:val="24"/>
          <w:lang w:eastAsia="en-US"/>
        </w:rPr>
      </w:pPr>
      <w:r w:rsidRPr="00BC161B">
        <w:rPr>
          <w:rFonts w:ascii="Century Gothic" w:eastAsia="Calibri" w:hAnsi="Century Gothic" w:cs="Arial"/>
          <w:sz w:val="24"/>
          <w:szCs w:val="24"/>
          <w:lang w:eastAsia="en-US"/>
        </w:rPr>
        <w:t xml:space="preserve">Preso atto della sopra riportata informativa, resa ai sensi del </w:t>
      </w:r>
      <w:r w:rsidRPr="00BC161B">
        <w:rPr>
          <w:rFonts w:ascii="Century Gothic" w:hAnsi="Century Gothic"/>
          <w:sz w:val="24"/>
          <w:szCs w:val="24"/>
        </w:rPr>
        <w:t>Regolamento U.E. n. 679/2016</w:t>
      </w:r>
      <w:r w:rsidRPr="00BC161B">
        <w:rPr>
          <w:rFonts w:ascii="Century Gothic" w:eastAsia="Calibri" w:hAnsi="Century Gothic" w:cs="Arial"/>
          <w:sz w:val="24"/>
          <w:szCs w:val="24"/>
          <w:lang w:eastAsia="en-US"/>
        </w:rPr>
        <w:t xml:space="preserve">: </w:t>
      </w:r>
    </w:p>
    <w:p w:rsidR="009C6981" w:rsidRPr="00BC161B" w:rsidRDefault="009C6981" w:rsidP="009C6981">
      <w:pPr>
        <w:autoSpaceDE w:val="0"/>
        <w:autoSpaceDN w:val="0"/>
        <w:adjustRightInd w:val="0"/>
        <w:jc w:val="both"/>
        <w:rPr>
          <w:rFonts w:ascii="Century Gothic" w:eastAsia="Calibri" w:hAnsi="Century Gothic" w:cs="Arial"/>
          <w:sz w:val="24"/>
          <w:szCs w:val="24"/>
          <w:lang w:eastAsia="en-US"/>
        </w:rPr>
      </w:pPr>
    </w:p>
    <w:p w:rsidR="009C6981" w:rsidRPr="00BC161B" w:rsidRDefault="009C6981" w:rsidP="009C6981">
      <w:pPr>
        <w:autoSpaceDE w:val="0"/>
        <w:autoSpaceDN w:val="0"/>
        <w:adjustRightInd w:val="0"/>
        <w:jc w:val="both"/>
        <w:rPr>
          <w:rFonts w:ascii="Century Gothic" w:eastAsia="Calibri" w:hAnsi="Century Gothic" w:cs="Arial"/>
          <w:b/>
          <w:sz w:val="24"/>
          <w:szCs w:val="24"/>
          <w:lang w:eastAsia="en-US"/>
        </w:rPr>
      </w:pPr>
      <w:r w:rsidRPr="00BC161B">
        <w:rPr>
          <w:rFonts w:ascii="Century Gothic" w:eastAsia="Calibri" w:hAnsi="Century Gothic" w:cs="Arial"/>
          <w:b/>
          <w:sz w:val="24"/>
          <w:szCs w:val="24"/>
          <w:lang w:eastAsia="en-US"/>
        </w:rPr>
        <w:t>- esprimo il consenso al trattamento dei miei dati personali inclusi quelli considerati come categorie particolari di dati;</w:t>
      </w:r>
    </w:p>
    <w:p w:rsidR="009C6981" w:rsidRPr="00BC161B" w:rsidRDefault="009C6981" w:rsidP="009C6981">
      <w:pPr>
        <w:autoSpaceDE w:val="0"/>
        <w:autoSpaceDN w:val="0"/>
        <w:adjustRightInd w:val="0"/>
        <w:jc w:val="both"/>
        <w:rPr>
          <w:rFonts w:ascii="Century Gothic" w:eastAsia="Calibri" w:hAnsi="Century Gothic" w:cs="Arial"/>
          <w:b/>
          <w:sz w:val="24"/>
          <w:szCs w:val="24"/>
          <w:lang w:eastAsia="en-US"/>
        </w:rPr>
      </w:pPr>
      <w:r w:rsidRPr="00BC161B">
        <w:rPr>
          <w:rFonts w:ascii="Century Gothic" w:eastAsia="Calibri" w:hAnsi="Century Gothic" w:cs="Arial"/>
          <w:b/>
          <w:sz w:val="24"/>
          <w:szCs w:val="24"/>
          <w:lang w:eastAsia="en-US"/>
        </w:rPr>
        <w:t>- esprimo il consenso alla comunicazione dei miei dati personali a soggetti pubblici e privati ad enti pubblici e società di natura privata per le finalità indicate nell’informativa.</w:t>
      </w:r>
    </w:p>
    <w:p w:rsidR="009C6981" w:rsidRPr="00BC161B" w:rsidRDefault="009C6981" w:rsidP="009C6981">
      <w:pPr>
        <w:autoSpaceDE w:val="0"/>
        <w:autoSpaceDN w:val="0"/>
        <w:adjustRightInd w:val="0"/>
        <w:jc w:val="both"/>
        <w:rPr>
          <w:rFonts w:ascii="Century Gothic" w:eastAsia="Calibri" w:hAnsi="Century Gothic" w:cs="Arial"/>
          <w:sz w:val="24"/>
          <w:szCs w:val="24"/>
          <w:lang w:eastAsia="en-US"/>
        </w:rPr>
      </w:pPr>
    </w:p>
    <w:p w:rsidR="009C6981" w:rsidRPr="00BC161B" w:rsidRDefault="009C6981" w:rsidP="009C6981">
      <w:pPr>
        <w:autoSpaceDE w:val="0"/>
        <w:autoSpaceDN w:val="0"/>
        <w:adjustRightInd w:val="0"/>
        <w:rPr>
          <w:rFonts w:ascii="Century Gothic" w:eastAsia="Calibri" w:hAnsi="Century Gothic" w:cs="Arial"/>
          <w:bCs/>
          <w:sz w:val="24"/>
          <w:szCs w:val="24"/>
          <w:lang w:eastAsia="en-US"/>
        </w:rPr>
      </w:pPr>
    </w:p>
    <w:p w:rsidR="009C6981" w:rsidRPr="00BC161B" w:rsidRDefault="009C6981" w:rsidP="009C6981">
      <w:pPr>
        <w:autoSpaceDE w:val="0"/>
        <w:autoSpaceDN w:val="0"/>
        <w:adjustRightInd w:val="0"/>
        <w:rPr>
          <w:rFonts w:ascii="Century Gothic" w:eastAsia="Calibri" w:hAnsi="Century Gothic" w:cs="Arial"/>
          <w:b/>
          <w:bCs/>
          <w:sz w:val="24"/>
          <w:szCs w:val="24"/>
          <w:lang w:eastAsia="en-US"/>
        </w:rPr>
      </w:pPr>
      <w:r w:rsidRPr="00BC161B">
        <w:rPr>
          <w:rFonts w:ascii="Century Gothic" w:eastAsia="Calibri" w:hAnsi="Century Gothic" w:cs="Arial"/>
          <w:b/>
          <w:bCs/>
          <w:sz w:val="24"/>
          <w:szCs w:val="24"/>
          <w:lang w:eastAsia="en-US"/>
        </w:rPr>
        <w:t xml:space="preserve">_________ ______________________________________ </w:t>
      </w:r>
    </w:p>
    <w:p w:rsidR="009C6981" w:rsidRPr="00BC161B" w:rsidRDefault="009C6981" w:rsidP="009C6981">
      <w:pPr>
        <w:autoSpaceDE w:val="0"/>
        <w:autoSpaceDN w:val="0"/>
        <w:adjustRightInd w:val="0"/>
        <w:rPr>
          <w:rFonts w:ascii="Century Gothic" w:eastAsia="Calibri" w:hAnsi="Century Gothic" w:cs="Arial"/>
          <w:lang w:eastAsia="en-US"/>
        </w:rPr>
      </w:pPr>
      <w:r w:rsidRPr="00BC161B">
        <w:rPr>
          <w:rFonts w:ascii="Century Gothic" w:eastAsia="Calibri" w:hAnsi="Century Gothic" w:cs="Arial"/>
          <w:lang w:eastAsia="en-US"/>
        </w:rPr>
        <w:t>(luogo e data)</w:t>
      </w:r>
    </w:p>
    <w:p w:rsidR="009C6981" w:rsidRPr="00BC161B" w:rsidRDefault="009C6981" w:rsidP="009C6981">
      <w:pPr>
        <w:autoSpaceDE w:val="0"/>
        <w:autoSpaceDN w:val="0"/>
        <w:adjustRightInd w:val="0"/>
        <w:rPr>
          <w:rFonts w:ascii="Century Gothic" w:eastAsia="Calibri" w:hAnsi="Century Gothic" w:cs="Arial"/>
          <w:lang w:eastAsia="en-US"/>
        </w:rPr>
      </w:pPr>
    </w:p>
    <w:p w:rsidR="009C6981" w:rsidRPr="00BC161B" w:rsidRDefault="009C6981" w:rsidP="009C6981">
      <w:pPr>
        <w:autoSpaceDE w:val="0"/>
        <w:autoSpaceDN w:val="0"/>
        <w:adjustRightInd w:val="0"/>
        <w:rPr>
          <w:rFonts w:ascii="Century Gothic" w:eastAsia="Calibri" w:hAnsi="Century Gothic" w:cs="Arial"/>
          <w:lang w:eastAsia="en-US"/>
        </w:rPr>
      </w:pPr>
    </w:p>
    <w:p w:rsidR="009C6981" w:rsidRPr="00BC161B" w:rsidRDefault="009C6981" w:rsidP="009C6981">
      <w:pPr>
        <w:autoSpaceDE w:val="0"/>
        <w:autoSpaceDN w:val="0"/>
        <w:adjustRightInd w:val="0"/>
        <w:rPr>
          <w:rFonts w:ascii="Century Gothic" w:eastAsia="Calibri" w:hAnsi="Century Gothic" w:cs="Arial"/>
          <w:lang w:eastAsia="en-US"/>
        </w:rPr>
      </w:pPr>
      <w:r w:rsidRPr="00BC161B">
        <w:rPr>
          <w:rFonts w:ascii="Century Gothic" w:eastAsia="Calibri" w:hAnsi="Century Gothic" w:cs="Arial"/>
          <w:lang w:eastAsia="en-US"/>
        </w:rPr>
        <w:t>_________________________________________________________</w:t>
      </w:r>
    </w:p>
    <w:p w:rsidR="009C6981" w:rsidRPr="00BC161B" w:rsidRDefault="009C6981" w:rsidP="009C6981">
      <w:pPr>
        <w:autoSpaceDE w:val="0"/>
        <w:autoSpaceDN w:val="0"/>
        <w:adjustRightInd w:val="0"/>
        <w:rPr>
          <w:rFonts w:ascii="Verdana" w:eastAsia="Calibri" w:hAnsi="Verdana" w:cs="Verdana"/>
          <w:sz w:val="24"/>
          <w:szCs w:val="24"/>
          <w:lang w:eastAsia="en-US"/>
        </w:rPr>
      </w:pPr>
      <w:r w:rsidRPr="00BC161B">
        <w:rPr>
          <w:rFonts w:ascii="Century Gothic" w:eastAsia="Calibri" w:hAnsi="Century Gothic" w:cs="Arial"/>
          <w:sz w:val="24"/>
          <w:szCs w:val="24"/>
          <w:lang w:eastAsia="en-US"/>
        </w:rPr>
        <w:t xml:space="preserve"> </w:t>
      </w:r>
      <w:r w:rsidRPr="00BC161B">
        <w:rPr>
          <w:rFonts w:ascii="Century Gothic" w:eastAsia="Calibri" w:hAnsi="Century Gothic" w:cs="Arial"/>
          <w:sz w:val="24"/>
          <w:szCs w:val="24"/>
          <w:highlight w:val="lightGray"/>
          <w:lang w:eastAsia="en-US"/>
        </w:rPr>
        <w:t>(</w:t>
      </w:r>
      <w:r w:rsidRPr="00BC161B">
        <w:rPr>
          <w:rFonts w:ascii="Century Gothic" w:eastAsia="Calibri" w:hAnsi="Century Gothic" w:cs="Arial"/>
          <w:b/>
          <w:sz w:val="24"/>
          <w:szCs w:val="24"/>
          <w:highlight w:val="lightGray"/>
          <w:lang w:eastAsia="en-US"/>
        </w:rPr>
        <w:t>Firma</w:t>
      </w:r>
      <w:r w:rsidRPr="00BC161B">
        <w:rPr>
          <w:rFonts w:ascii="Century Gothic" w:eastAsia="Calibri" w:hAnsi="Century Gothic" w:cs="Arial"/>
          <w:sz w:val="24"/>
          <w:szCs w:val="24"/>
          <w:highlight w:val="lightGray"/>
          <w:lang w:eastAsia="en-US"/>
        </w:rPr>
        <w:t>)</w:t>
      </w:r>
    </w:p>
    <w:p w:rsidR="009C6981" w:rsidRPr="00BC161B" w:rsidRDefault="009C6981" w:rsidP="009C6981">
      <w:pPr>
        <w:rPr>
          <w:b/>
          <w:sz w:val="24"/>
        </w:rPr>
      </w:pPr>
    </w:p>
    <w:p w:rsidR="009C6981" w:rsidRPr="00BC161B" w:rsidRDefault="009C6981" w:rsidP="009C6981">
      <w:pPr>
        <w:rPr>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rPr>
      </w:pPr>
      <w:r w:rsidRPr="00BC161B">
        <w:rPr>
          <w:rFonts w:ascii="Century Gothic" w:hAnsi="Century Gothic"/>
          <w:b/>
        </w:rPr>
        <w:lastRenderedPageBreak/>
        <w:t xml:space="preserve">Estratto del D. </w:t>
      </w:r>
      <w:proofErr w:type="gramStart"/>
      <w:r w:rsidRPr="00BC161B">
        <w:rPr>
          <w:rFonts w:ascii="Century Gothic" w:hAnsi="Century Gothic"/>
          <w:b/>
        </w:rPr>
        <w:t>Lgs  235</w:t>
      </w:r>
      <w:proofErr w:type="gramEnd"/>
      <w:r w:rsidRPr="00BC161B">
        <w:rPr>
          <w:rFonts w:ascii="Century Gothic" w:hAnsi="Century Gothic"/>
          <w:b/>
        </w:rPr>
        <w:t>/2012</w:t>
      </w:r>
    </w:p>
    <w:p w:rsidR="009C6981" w:rsidRPr="00BC161B" w:rsidRDefault="009C6981" w:rsidP="009C6981">
      <w:pPr>
        <w:rPr>
          <w:rFonts w:ascii="Century Gothic" w:hAnsi="Century Gothic"/>
          <w:b/>
        </w:rPr>
      </w:pPr>
      <w:r w:rsidRPr="00BC161B">
        <w:rPr>
          <w:rFonts w:ascii="Century Gothic" w:hAnsi="Century Gothic"/>
          <w:b/>
        </w:rPr>
        <w:tab/>
      </w:r>
      <w:r w:rsidRPr="00BC161B">
        <w:rPr>
          <w:rFonts w:ascii="Century Gothic" w:hAnsi="Century Gothic"/>
          <w:b/>
        </w:rPr>
        <w:tab/>
      </w:r>
      <w:r w:rsidRPr="00BC161B">
        <w:rPr>
          <w:rFonts w:ascii="Century Gothic" w:hAnsi="Century Gothic"/>
          <w:b/>
        </w:rPr>
        <w:tab/>
      </w:r>
      <w:r w:rsidRPr="00BC161B">
        <w:rPr>
          <w:rFonts w:ascii="Century Gothic" w:hAnsi="Century Gothic"/>
          <w:b/>
        </w:rPr>
        <w:tab/>
      </w:r>
      <w:r w:rsidRPr="00BC161B">
        <w:rPr>
          <w:rFonts w:ascii="Century Gothic" w:hAnsi="Century Gothic"/>
          <w:b/>
        </w:rPr>
        <w:tab/>
      </w:r>
      <w:r w:rsidRPr="00BC161B">
        <w:rPr>
          <w:rFonts w:ascii="Century Gothic" w:hAnsi="Century Gothic"/>
          <w:b/>
        </w:rPr>
        <w:tab/>
      </w:r>
    </w:p>
    <w:p w:rsidR="009C6981" w:rsidRPr="00BC161B" w:rsidRDefault="009C6981" w:rsidP="009C6981">
      <w:pPr>
        <w:jc w:val="both"/>
        <w:rPr>
          <w:rFonts w:ascii="Century Gothic" w:hAnsi="Century Gothic"/>
          <w:b/>
        </w:rPr>
      </w:pPr>
      <w:proofErr w:type="spellStart"/>
      <w:r w:rsidRPr="00BC161B">
        <w:rPr>
          <w:rFonts w:ascii="Century Gothic" w:hAnsi="Century Gothic"/>
          <w:b/>
        </w:rPr>
        <w:t>D.Lgs.</w:t>
      </w:r>
      <w:proofErr w:type="spellEnd"/>
      <w:r w:rsidRPr="00BC161B">
        <w:rPr>
          <w:rFonts w:ascii="Century Gothic" w:hAnsi="Century Gothic"/>
          <w:b/>
        </w:rPr>
        <w:t xml:space="preserve"> 31-12-2012 n. 235</w:t>
      </w:r>
    </w:p>
    <w:p w:rsidR="009C6981" w:rsidRPr="00BC161B" w:rsidRDefault="009C6981" w:rsidP="009C6981">
      <w:pPr>
        <w:spacing w:before="100" w:beforeAutospacing="1" w:after="100" w:afterAutospacing="1"/>
        <w:jc w:val="both"/>
        <w:rPr>
          <w:rFonts w:ascii="Century Gothic" w:hAnsi="Century Gothic"/>
          <w:b/>
        </w:rPr>
      </w:pPr>
      <w:r w:rsidRPr="00BC161B">
        <w:rPr>
          <w:rFonts w:ascii="Century Gothic" w:hAnsi="Century Gothic"/>
        </w:rPr>
        <w:br/>
        <w:t>Testo unico delle disposizioni in materia di incandidabilità e di divieto di ricoprire cariche elettive e di Governo conseguenti a sentenze definitive di condanna per delitti non colposi, a norma dell'articolo 1, comma 63, della legge 6 novembre 2012, n. 190.</w:t>
      </w:r>
    </w:p>
    <w:p w:rsidR="009C6981" w:rsidRPr="00BC161B" w:rsidRDefault="009C6981" w:rsidP="009C6981">
      <w:pPr>
        <w:spacing w:before="100" w:beforeAutospacing="1" w:after="100" w:afterAutospacing="1"/>
        <w:jc w:val="both"/>
        <w:rPr>
          <w:rFonts w:ascii="Century Gothic" w:hAnsi="Century Gothic"/>
        </w:rPr>
      </w:pPr>
      <w:r w:rsidRPr="00BC161B">
        <w:rPr>
          <w:rFonts w:ascii="Century Gothic" w:hAnsi="Century Gothic"/>
          <w:b/>
        </w:rPr>
        <w:t xml:space="preserve">Art. 10 </w:t>
      </w:r>
      <w:r w:rsidRPr="00BC161B">
        <w:rPr>
          <w:rFonts w:ascii="Century Gothic" w:hAnsi="Century Gothic"/>
        </w:rPr>
        <w:t xml:space="preserve">  </w:t>
      </w:r>
      <w:r w:rsidRPr="00BC161B">
        <w:rPr>
          <w:rFonts w:ascii="Century Gothic" w:hAnsi="Century Gothic"/>
          <w:i/>
        </w:rPr>
        <w:t>Incandidabilità alle elezioni provinciali, comunali e circoscrizionali</w:t>
      </w:r>
    </w:p>
    <w:p w:rsidR="009C6981" w:rsidRPr="00BC161B" w:rsidRDefault="009C6981" w:rsidP="009C6981">
      <w:pPr>
        <w:shd w:val="clear" w:color="auto" w:fill="FFFFFF"/>
        <w:jc w:val="both"/>
        <w:rPr>
          <w:rFonts w:ascii="Century Gothic" w:hAnsi="Century Gothic"/>
        </w:rPr>
      </w:pPr>
      <w:r w:rsidRPr="00BC161B">
        <w:rPr>
          <w:rFonts w:ascii="Century Gothic" w:hAnsi="Century Gothic"/>
        </w:rPr>
        <w:t>1. Non possono essere candidati alle elezioni provinciali, comunali e circoscrizionali e non possono comunque ricoprire le cariche di presidente della provincia, sindaco, assessore e consigliere provinciale e comunale, presidente e componente del consiglio circoscrizionale, presidente e componente del consiglio di amministrazione dei consorzi, presidente e componente dei consigli e delle giunte delle unioni di comuni, consigliere di amministrazione e presidente delle aziende speciali e delle istituzioni di cui all'</w:t>
      </w:r>
      <w:hyperlink r:id="rId8" w:tgtFrame="_blank" w:history="1">
        <w:r w:rsidRPr="00BC161B">
          <w:rPr>
            <w:rFonts w:ascii="Century Gothic" w:hAnsi="Century Gothic"/>
          </w:rPr>
          <w:t>articolo 114 del decreto legislativo 18 agosto 2000, n. 267</w:t>
        </w:r>
      </w:hyperlink>
      <w:r w:rsidRPr="00BC161B">
        <w:rPr>
          <w:rFonts w:ascii="Century Gothic" w:hAnsi="Century Gothic"/>
        </w:rPr>
        <w:t>, presidente e componente degli organi delle comunità montane:</w:t>
      </w:r>
    </w:p>
    <w:p w:rsidR="009C6981" w:rsidRPr="00BC161B" w:rsidRDefault="009C6981" w:rsidP="009C6981">
      <w:pPr>
        <w:shd w:val="clear" w:color="auto" w:fill="FFFFFF"/>
        <w:ind w:firstLine="150"/>
        <w:jc w:val="both"/>
        <w:rPr>
          <w:rFonts w:ascii="Century Gothic" w:hAnsi="Century Gothic"/>
        </w:rPr>
      </w:pPr>
      <w:r w:rsidRPr="00BC161B">
        <w:rPr>
          <w:rFonts w:ascii="Century Gothic" w:hAnsi="Century Gothic"/>
        </w:rPr>
        <w:t>a) coloro che hanno riportato condanna definitiva per il delitto previsto dall'</w:t>
      </w:r>
      <w:hyperlink r:id="rId9" w:tgtFrame="_blank" w:history="1">
        <w:r w:rsidRPr="00BC161B">
          <w:rPr>
            <w:rFonts w:ascii="Century Gothic" w:hAnsi="Century Gothic"/>
          </w:rPr>
          <w:t>articolo 416-bis del codice penale</w:t>
        </w:r>
      </w:hyperlink>
      <w:r w:rsidRPr="00BC161B">
        <w:rPr>
          <w:rFonts w:ascii="Century Gothic" w:hAnsi="Century Gothic"/>
        </w:rPr>
        <w:t> o per il delitto di associazione finalizzata al traffico illecito di sostanze stupefacenti o psicotrope di cui all'articolo 74 del testo unico approvato con </w:t>
      </w:r>
      <w:hyperlink r:id="rId10" w:tgtFrame="_blank" w:history="1">
        <w:r w:rsidRPr="00BC161B">
          <w:rPr>
            <w:rFonts w:ascii="Century Gothic" w:hAnsi="Century Gothic"/>
          </w:rPr>
          <w:t>decreto del Presidente della Repubblica 9 ottobre 1990, n. 309</w:t>
        </w:r>
      </w:hyperlink>
      <w:r w:rsidRPr="00BC161B">
        <w:rPr>
          <w:rFonts w:ascii="Century Gothic" w:hAnsi="Century Gothic"/>
        </w:rPr>
        <w:t>, o per un delitto di cui all'articolo 73 del citato testo unico concernente la produzione o il traffico di dette sostanze, o per un delitto concernente la fabbricazione, l'importazione, l'esportazione, la vendita o cessione, nonché, nei casi in cui sia inflitta la pena della reclusione non inferiore ad un anno, il porto, il trasporto e la detenzione di armi, munizioni o materie esplodenti, o per il delitto di favoreggiamento personale o reale commesso in relazione a taluno dei predetti reati;</w:t>
      </w:r>
    </w:p>
    <w:p w:rsidR="009C6981" w:rsidRPr="00BC161B" w:rsidRDefault="009C6981" w:rsidP="009C6981">
      <w:pPr>
        <w:shd w:val="clear" w:color="auto" w:fill="FFFFFF"/>
        <w:ind w:firstLine="150"/>
        <w:jc w:val="both"/>
        <w:rPr>
          <w:rFonts w:ascii="Century Gothic" w:hAnsi="Century Gothic"/>
        </w:rPr>
      </w:pPr>
      <w:r w:rsidRPr="00BC161B">
        <w:rPr>
          <w:rFonts w:ascii="Century Gothic" w:hAnsi="Century Gothic"/>
        </w:rPr>
        <w:t>b) coloro che hanno riportato condanne definitive per i delitti, consumati o tentati, previsti dall'</w:t>
      </w:r>
      <w:hyperlink r:id="rId11" w:tgtFrame="_blank" w:history="1">
        <w:r w:rsidRPr="00BC161B">
          <w:rPr>
            <w:rFonts w:ascii="Century Gothic" w:hAnsi="Century Gothic"/>
          </w:rPr>
          <w:t>articolo 51, commi 3-bis</w:t>
        </w:r>
      </w:hyperlink>
      <w:r w:rsidRPr="00BC161B">
        <w:rPr>
          <w:rFonts w:ascii="Century Gothic" w:hAnsi="Century Gothic"/>
        </w:rPr>
        <w:t> e </w:t>
      </w:r>
      <w:hyperlink r:id="rId12" w:tgtFrame="_blank" w:history="1">
        <w:r w:rsidRPr="00BC161B">
          <w:rPr>
            <w:rFonts w:ascii="Century Gothic" w:hAnsi="Century Gothic"/>
          </w:rPr>
          <w:t>3-quater, del codice di procedura penale</w:t>
        </w:r>
      </w:hyperlink>
      <w:r w:rsidRPr="00BC161B">
        <w:rPr>
          <w:rFonts w:ascii="Century Gothic" w:hAnsi="Century Gothic"/>
        </w:rPr>
        <w:t>, diversi da quelli indicati alla lettera a);</w:t>
      </w:r>
    </w:p>
    <w:p w:rsidR="009C6981" w:rsidRPr="00BC161B" w:rsidRDefault="009C6981" w:rsidP="009C6981">
      <w:pPr>
        <w:shd w:val="clear" w:color="auto" w:fill="FFFFFF"/>
        <w:ind w:firstLine="150"/>
        <w:jc w:val="both"/>
        <w:rPr>
          <w:rFonts w:ascii="Century Gothic" w:hAnsi="Century Gothic"/>
        </w:rPr>
      </w:pPr>
      <w:r w:rsidRPr="00BC161B">
        <w:rPr>
          <w:rFonts w:ascii="Century Gothic" w:hAnsi="Century Gothic"/>
        </w:rPr>
        <w:t>c) coloro che hanno riportato condanna definitiva per i delitti previsti dagli articoli 314, 316, 316-bis, 316-ter, 317, 318, 319, 319-ter, 319-quater, primo comma, 320, 321, 322, 322-bis, 323, 325, 326, 331, secondo comma, 334, 346-bis del </w:t>
      </w:r>
      <w:hyperlink r:id="rId13" w:tgtFrame="_blank" w:history="1">
        <w:r w:rsidRPr="00BC161B">
          <w:rPr>
            <w:rFonts w:ascii="Century Gothic" w:hAnsi="Century Gothic"/>
          </w:rPr>
          <w:t>codice penale</w:t>
        </w:r>
      </w:hyperlink>
      <w:r w:rsidRPr="00BC161B">
        <w:rPr>
          <w:rFonts w:ascii="Century Gothic" w:hAnsi="Century Gothic"/>
        </w:rPr>
        <w:t>;</w:t>
      </w:r>
    </w:p>
    <w:p w:rsidR="009C6981" w:rsidRPr="00BC161B" w:rsidRDefault="009C6981" w:rsidP="009C6981">
      <w:pPr>
        <w:shd w:val="clear" w:color="auto" w:fill="FFFFFF"/>
        <w:ind w:firstLine="150"/>
        <w:jc w:val="both"/>
        <w:rPr>
          <w:rFonts w:ascii="Century Gothic" w:hAnsi="Century Gothic"/>
        </w:rPr>
      </w:pPr>
      <w:r w:rsidRPr="00BC161B">
        <w:rPr>
          <w:rFonts w:ascii="Century Gothic" w:hAnsi="Century Gothic"/>
        </w:rPr>
        <w:t>d) coloro che sono stati condannati con sentenza definitiva alla pena della reclusione complessivamente superiore a sei mesi per uno o più delitti commessi con abuso dei poteri o con violazione dei doveri inerenti ad una pubblica funzione o a un pubblico servizio diversi da quelli indicati nella lettera c);</w:t>
      </w:r>
    </w:p>
    <w:p w:rsidR="009C6981" w:rsidRPr="00BC161B" w:rsidRDefault="009C6981" w:rsidP="009C6981">
      <w:pPr>
        <w:shd w:val="clear" w:color="auto" w:fill="FFFFFF"/>
        <w:ind w:firstLine="150"/>
        <w:jc w:val="both"/>
        <w:rPr>
          <w:rFonts w:ascii="Century Gothic" w:hAnsi="Century Gothic"/>
        </w:rPr>
      </w:pPr>
      <w:r w:rsidRPr="00BC161B">
        <w:rPr>
          <w:rFonts w:ascii="Century Gothic" w:hAnsi="Century Gothic"/>
        </w:rPr>
        <w:t>e) coloro che sono stati condannati con sentenza definitiva ad una pena non inferiore a due anni di reclusione per delitto non colposo;</w:t>
      </w:r>
    </w:p>
    <w:p w:rsidR="009C6981" w:rsidRPr="00BC161B" w:rsidRDefault="009C6981" w:rsidP="009C6981">
      <w:pPr>
        <w:shd w:val="clear" w:color="auto" w:fill="FFFFFF"/>
        <w:ind w:firstLine="150"/>
        <w:jc w:val="both"/>
        <w:rPr>
          <w:rFonts w:ascii="Century Gothic" w:hAnsi="Century Gothic"/>
        </w:rPr>
      </w:pPr>
      <w:r w:rsidRPr="00BC161B">
        <w:rPr>
          <w:rFonts w:ascii="Century Gothic" w:hAnsi="Century Gothic"/>
        </w:rPr>
        <w:t>f) coloro nei cui confronti il tribunale ha applicato, con provvedimento definitivo, una misura di prevenzione, in quanto indiziati di appartenere ad una delle associazioni di cui all'</w:t>
      </w:r>
      <w:hyperlink r:id="rId14" w:tgtFrame="_blank" w:history="1">
        <w:r w:rsidRPr="00BC161B">
          <w:rPr>
            <w:rFonts w:ascii="Century Gothic" w:hAnsi="Century Gothic"/>
          </w:rPr>
          <w:t>articolo 4, comma 1, lettera a)</w:t>
        </w:r>
      </w:hyperlink>
      <w:r w:rsidRPr="00BC161B">
        <w:rPr>
          <w:rFonts w:ascii="Century Gothic" w:hAnsi="Century Gothic"/>
        </w:rPr>
        <w:t> e </w:t>
      </w:r>
      <w:hyperlink r:id="rId15" w:tgtFrame="_blank" w:history="1">
        <w:r w:rsidRPr="00BC161B">
          <w:rPr>
            <w:rFonts w:ascii="Century Gothic" w:hAnsi="Century Gothic"/>
          </w:rPr>
          <w:t>b), del decreto legislativo 6 settembre 2011, n. 159</w:t>
        </w:r>
      </w:hyperlink>
      <w:r w:rsidRPr="00BC161B">
        <w:rPr>
          <w:rFonts w:ascii="Century Gothic" w:hAnsi="Century Gothic"/>
        </w:rPr>
        <w:t>.</w:t>
      </w:r>
    </w:p>
    <w:p w:rsidR="009C6981" w:rsidRPr="00BC161B" w:rsidRDefault="009C6981" w:rsidP="009C6981">
      <w:pPr>
        <w:shd w:val="clear" w:color="auto" w:fill="FFFFFF"/>
        <w:ind w:firstLine="150"/>
        <w:jc w:val="both"/>
        <w:rPr>
          <w:rFonts w:ascii="Century Gothic" w:hAnsi="Century Gothic"/>
        </w:rPr>
      </w:pPr>
    </w:p>
    <w:p w:rsidR="009C6981" w:rsidRPr="00BC161B" w:rsidRDefault="009C6981" w:rsidP="009C6981">
      <w:pPr>
        <w:shd w:val="clear" w:color="auto" w:fill="FFFFFF"/>
        <w:jc w:val="both"/>
        <w:rPr>
          <w:rFonts w:ascii="Century Gothic" w:hAnsi="Century Gothic"/>
          <w:b/>
        </w:rPr>
      </w:pPr>
      <w:r w:rsidRPr="00BC161B">
        <w:rPr>
          <w:rFonts w:ascii="Century Gothic" w:hAnsi="Century Gothic"/>
          <w:b/>
        </w:rPr>
        <w:t>2. Le disposizioni previste dal comma 1 si applicano a qualsiasi altro incarico con riferimento al quale l'elezione o la nomina è di competenza:</w:t>
      </w:r>
    </w:p>
    <w:p w:rsidR="009C6981" w:rsidRPr="00BC161B" w:rsidRDefault="009C6981" w:rsidP="009C6981">
      <w:pPr>
        <w:shd w:val="clear" w:color="auto" w:fill="FFFFFF"/>
        <w:ind w:firstLine="150"/>
        <w:jc w:val="both"/>
        <w:rPr>
          <w:rFonts w:ascii="Century Gothic" w:hAnsi="Century Gothic"/>
          <w:b/>
        </w:rPr>
      </w:pPr>
      <w:r w:rsidRPr="00BC161B">
        <w:rPr>
          <w:rFonts w:ascii="Century Gothic" w:hAnsi="Century Gothic"/>
          <w:b/>
        </w:rPr>
        <w:t>a) del consiglio provinciale, comunale o circoscrizionale;</w:t>
      </w:r>
    </w:p>
    <w:p w:rsidR="009C6981" w:rsidRPr="00BC161B" w:rsidRDefault="009C6981" w:rsidP="009C6981">
      <w:pPr>
        <w:shd w:val="clear" w:color="auto" w:fill="FFFFFF"/>
        <w:ind w:firstLine="150"/>
        <w:jc w:val="both"/>
        <w:rPr>
          <w:rFonts w:ascii="Century Gothic" w:hAnsi="Century Gothic"/>
          <w:b/>
        </w:rPr>
      </w:pPr>
      <w:r w:rsidRPr="00BC161B">
        <w:rPr>
          <w:rFonts w:ascii="Century Gothic" w:hAnsi="Century Gothic"/>
          <w:b/>
        </w:rPr>
        <w:t>b) della giunta provinciale o del presidente, della giunta comunale o del sindaco, di assessori provinciali o comunali.</w:t>
      </w:r>
    </w:p>
    <w:p w:rsidR="009C6981" w:rsidRPr="00BC161B" w:rsidRDefault="009C6981" w:rsidP="009C6981">
      <w:pPr>
        <w:shd w:val="clear" w:color="auto" w:fill="FFFFFF"/>
        <w:ind w:firstLine="150"/>
        <w:jc w:val="both"/>
        <w:rPr>
          <w:rFonts w:ascii="Century Gothic" w:hAnsi="Century Gothic"/>
          <w:b/>
        </w:rPr>
      </w:pPr>
    </w:p>
    <w:p w:rsidR="009C6981" w:rsidRPr="00BC161B" w:rsidRDefault="009C6981" w:rsidP="009C6981">
      <w:pPr>
        <w:shd w:val="clear" w:color="auto" w:fill="FFFFFF"/>
        <w:jc w:val="both"/>
        <w:rPr>
          <w:rFonts w:ascii="Century Gothic" w:hAnsi="Century Gothic"/>
        </w:rPr>
      </w:pPr>
      <w:r w:rsidRPr="00BC161B">
        <w:rPr>
          <w:rFonts w:ascii="Century Gothic" w:hAnsi="Century Gothic"/>
        </w:rPr>
        <w:t>3. L'eventuale elezione o nomina di coloro che si trovano nelle condizioni di cui al comma 1 è nulla. L'organo che ha provveduto alla nomina o alla convalida dell'elezione è tenuto a revocare il relativo provvedimento non appena venuto a conoscenza dell'esistenza delle condizioni stesse.</w:t>
      </w:r>
      <w:r w:rsidRPr="00BC161B">
        <w:rPr>
          <w:rFonts w:ascii="Century Gothic" w:hAnsi="Century Gothic"/>
        </w:rPr>
        <w:br/>
      </w:r>
    </w:p>
    <w:p w:rsidR="009C6981" w:rsidRPr="00BC161B" w:rsidRDefault="009C6981" w:rsidP="009C6981">
      <w:pPr>
        <w:shd w:val="clear" w:color="auto" w:fill="FFFFFF"/>
        <w:jc w:val="both"/>
        <w:rPr>
          <w:rFonts w:ascii="Century Gothic" w:hAnsi="Century Gothic"/>
        </w:rPr>
      </w:pPr>
      <w:r w:rsidRPr="00BC161B">
        <w:rPr>
          <w:rFonts w:ascii="Century Gothic" w:hAnsi="Century Gothic"/>
        </w:rPr>
        <w:t xml:space="preserve">4. Le sentenze definitive di condanna ed i provvedimenti di cui al comma 1, emesse nei confronti di presidenti di provincia, sindaci, presidenti di circoscrizione o consiglieri provinciali, comunali o circoscrizionali in carica, sono immediatamente comunicate, dal pubblico ministero presso il giudice </w:t>
      </w:r>
      <w:r w:rsidRPr="00BC161B">
        <w:rPr>
          <w:rFonts w:ascii="Century Gothic" w:hAnsi="Century Gothic"/>
        </w:rPr>
        <w:lastRenderedPageBreak/>
        <w:t>indicato nell'</w:t>
      </w:r>
      <w:hyperlink r:id="rId16" w:tgtFrame="_blank" w:history="1">
        <w:r w:rsidRPr="00BC161B">
          <w:rPr>
            <w:rFonts w:ascii="Century Gothic" w:hAnsi="Century Gothic"/>
          </w:rPr>
          <w:t>articolo 665 del codice di procedura penale</w:t>
        </w:r>
      </w:hyperlink>
      <w:r w:rsidRPr="00BC161B">
        <w:rPr>
          <w:rFonts w:ascii="Century Gothic" w:hAnsi="Century Gothic"/>
        </w:rPr>
        <w:t>, all'organo consiliare di rispettiva appartenenza, ai fini della dichiarazione di decadenza, ed al prefetto territorialmente competente.</w:t>
      </w:r>
    </w:p>
    <w:p w:rsidR="009C6981" w:rsidRPr="00BC161B" w:rsidRDefault="009C6981" w:rsidP="009C6981">
      <w:pPr>
        <w:spacing w:before="280" w:after="280"/>
        <w:jc w:val="both"/>
        <w:rPr>
          <w:rFonts w:ascii="Century Gothic" w:hAnsi="Century Gothic" w:cs="CenturyGothic,Bold"/>
          <w:b/>
          <w:bCs/>
        </w:rPr>
      </w:pPr>
      <w:r w:rsidRPr="00BC161B">
        <w:rPr>
          <w:rFonts w:ascii="Century Gothic" w:hAnsi="Century Gothic" w:cs="CenturyGothic,Bold"/>
          <w:b/>
          <w:bCs/>
        </w:rPr>
        <w:t>ESTRATTO DEGLI “INDIRIZZI GENERALI PER LA NOMINA, LA DESIGNAZIONE E LA REVOCA DEI RAPPRESENTANTI DEL COMUNE PRESSO ENTI, AZIENDE, ISTITUZIONI E SOCIETA’” APPROVATI CON DELIBERAZIONE DI CONSIGLIO COMUNALE N. 48 DEL 31/07/2024.</w:t>
      </w:r>
    </w:p>
    <w:p w:rsidR="009C6981" w:rsidRPr="00BC161B" w:rsidRDefault="009C6981" w:rsidP="009C6981">
      <w:pPr>
        <w:autoSpaceDE w:val="0"/>
        <w:autoSpaceDN w:val="0"/>
        <w:adjustRightInd w:val="0"/>
        <w:rPr>
          <w:rFonts w:ascii="Century Gothic" w:hAnsi="Century Gothic" w:cs="CenturyGothic"/>
          <w:i/>
        </w:rPr>
      </w:pPr>
      <w:r w:rsidRPr="00BC161B">
        <w:rPr>
          <w:rFonts w:ascii="Century Gothic" w:hAnsi="Century Gothic" w:cs="CenturyGothic"/>
          <w:i/>
        </w:rPr>
        <w:t>Omissis</w:t>
      </w:r>
    </w:p>
    <w:p w:rsidR="009C6981" w:rsidRPr="00BC161B" w:rsidRDefault="009C6981" w:rsidP="009C6981">
      <w:pPr>
        <w:jc w:val="both"/>
        <w:rPr>
          <w:rFonts w:ascii="Century Gothic" w:hAnsi="Century Gothic"/>
          <w:b/>
        </w:rPr>
      </w:pPr>
      <w:r w:rsidRPr="00BC161B">
        <w:rPr>
          <w:rFonts w:ascii="Century Gothic" w:hAnsi="Century Gothic"/>
          <w:b/>
        </w:rPr>
        <w:t xml:space="preserve">Art. 4 – Requisiti per la nomina </w:t>
      </w:r>
    </w:p>
    <w:p w:rsidR="009C6981" w:rsidRPr="00BC161B" w:rsidRDefault="009C6981" w:rsidP="009C6981">
      <w:pPr>
        <w:jc w:val="both"/>
        <w:rPr>
          <w:rFonts w:ascii="Century Gothic" w:hAnsi="Century Gothic"/>
          <w:b/>
        </w:rPr>
      </w:pPr>
    </w:p>
    <w:p w:rsidR="009C6981" w:rsidRPr="00BC161B" w:rsidRDefault="009C6981" w:rsidP="009C6981">
      <w:pPr>
        <w:autoSpaceDE w:val="0"/>
        <w:autoSpaceDN w:val="0"/>
        <w:adjustRightInd w:val="0"/>
        <w:jc w:val="both"/>
        <w:rPr>
          <w:rFonts w:ascii="Century Gothic" w:hAnsi="Century Gothic" w:cs="Arial"/>
        </w:rPr>
      </w:pPr>
      <w:r w:rsidRPr="00BC161B">
        <w:rPr>
          <w:rFonts w:ascii="Century Gothic" w:hAnsi="Century Gothic" w:cs="Arial"/>
        </w:rPr>
        <w:t>1. I nominati e i designati in rappresentanza del Comune presso Aziende, Istituzioni, Fondazioni</w:t>
      </w:r>
      <w:r w:rsidRPr="00BC161B">
        <w:rPr>
          <w:rFonts w:ascii="Century Gothic" w:hAnsi="Century Gothic" w:cs="Arial"/>
          <w:b/>
          <w:bCs/>
        </w:rPr>
        <w:t xml:space="preserve">, </w:t>
      </w:r>
      <w:r w:rsidRPr="00BC161B">
        <w:rPr>
          <w:rFonts w:ascii="Century Gothic" w:hAnsi="Century Gothic" w:cs="Arial"/>
        </w:rPr>
        <w:t>Enti (comprese le Società) devono possedere - oltre ai requisiti per l'elezione a Consigliere Comunale – una competenza adeguata alle specifiche caratteristiche della carica. A tal fine i rappresentanti sono scelti considerando le qualità professionali e le competenze emergenti da: incarichi professionali, incarichi accademici ed in istituzioni di ricerca, pubblicazioni, esperienza amministrativa o di direzione di strutture pubbliche e private, impegno sociale e civile.</w:t>
      </w:r>
    </w:p>
    <w:p w:rsidR="009C6981" w:rsidRPr="00BC161B" w:rsidRDefault="009C6981" w:rsidP="009C6981">
      <w:pPr>
        <w:autoSpaceDE w:val="0"/>
        <w:autoSpaceDN w:val="0"/>
        <w:jc w:val="both"/>
        <w:rPr>
          <w:rFonts w:ascii="Century Gothic" w:hAnsi="Century Gothic"/>
        </w:rPr>
      </w:pPr>
    </w:p>
    <w:p w:rsidR="009C6981" w:rsidRPr="00BC161B" w:rsidRDefault="009C6981" w:rsidP="009C6981">
      <w:pPr>
        <w:autoSpaceDE w:val="0"/>
        <w:autoSpaceDN w:val="0"/>
        <w:jc w:val="both"/>
        <w:rPr>
          <w:rFonts w:ascii="Century Gothic" w:hAnsi="Century Gothic"/>
        </w:rPr>
      </w:pPr>
      <w:r w:rsidRPr="00BC161B">
        <w:rPr>
          <w:rFonts w:ascii="Century Gothic" w:hAnsi="Century Gothic"/>
        </w:rPr>
        <w:t xml:space="preserve">2. Possono essere nominati quali rappresentanti del Comune di Porto Mantovano presso Enti, Aziende ed Istituzioni coloro i quali: </w:t>
      </w:r>
    </w:p>
    <w:p w:rsidR="009C6981" w:rsidRPr="00BC161B" w:rsidRDefault="009C6981" w:rsidP="009C6981">
      <w:pPr>
        <w:numPr>
          <w:ilvl w:val="0"/>
          <w:numId w:val="1"/>
        </w:numPr>
        <w:autoSpaceDE w:val="0"/>
        <w:autoSpaceDN w:val="0"/>
        <w:jc w:val="both"/>
        <w:rPr>
          <w:rFonts w:ascii="Century Gothic" w:hAnsi="Century Gothic"/>
        </w:rPr>
      </w:pPr>
      <w:r w:rsidRPr="00BC161B">
        <w:rPr>
          <w:rFonts w:ascii="Century Gothic" w:hAnsi="Century Gothic"/>
        </w:rPr>
        <w:t xml:space="preserve">siano cittadini di uno Stato dell’Unione Europea; </w:t>
      </w:r>
    </w:p>
    <w:p w:rsidR="009C6981" w:rsidRPr="00BC161B" w:rsidRDefault="009C6981" w:rsidP="009C6981">
      <w:pPr>
        <w:numPr>
          <w:ilvl w:val="0"/>
          <w:numId w:val="1"/>
        </w:numPr>
        <w:autoSpaceDE w:val="0"/>
        <w:autoSpaceDN w:val="0"/>
        <w:jc w:val="both"/>
        <w:rPr>
          <w:rFonts w:ascii="Century Gothic" w:hAnsi="Century Gothic"/>
        </w:rPr>
      </w:pPr>
      <w:r w:rsidRPr="00BC161B">
        <w:rPr>
          <w:rFonts w:ascii="Century Gothic" w:hAnsi="Century Gothic"/>
        </w:rPr>
        <w:t xml:space="preserve">non si trovino in una delle situazioni di </w:t>
      </w:r>
      <w:proofErr w:type="spellStart"/>
      <w:r w:rsidRPr="00BC161B">
        <w:rPr>
          <w:rFonts w:ascii="Century Gothic" w:hAnsi="Century Gothic"/>
        </w:rPr>
        <w:t>inconferibilità</w:t>
      </w:r>
      <w:proofErr w:type="spellEnd"/>
      <w:r w:rsidRPr="00BC161B">
        <w:rPr>
          <w:rFonts w:ascii="Century Gothic" w:hAnsi="Century Gothic"/>
        </w:rPr>
        <w:t xml:space="preserve"> di cui al </w:t>
      </w:r>
      <w:proofErr w:type="spellStart"/>
      <w:r w:rsidRPr="00BC161B">
        <w:rPr>
          <w:rFonts w:ascii="Century Gothic" w:hAnsi="Century Gothic"/>
        </w:rPr>
        <w:t>D.Lgs.</w:t>
      </w:r>
      <w:proofErr w:type="spellEnd"/>
      <w:r w:rsidRPr="00BC161B">
        <w:rPr>
          <w:rFonts w:ascii="Century Gothic" w:hAnsi="Century Gothic"/>
        </w:rPr>
        <w:t xml:space="preserve"> 8/4/2013, n. 39 e </w:t>
      </w:r>
      <w:proofErr w:type="spellStart"/>
      <w:r w:rsidRPr="00BC161B">
        <w:rPr>
          <w:rFonts w:ascii="Century Gothic" w:hAnsi="Century Gothic"/>
        </w:rPr>
        <w:t>s.m.i</w:t>
      </w:r>
      <w:proofErr w:type="spellEnd"/>
      <w:r w:rsidRPr="00BC161B">
        <w:rPr>
          <w:rFonts w:ascii="Century Gothic" w:hAnsi="Century Gothic"/>
        </w:rPr>
        <w:t xml:space="preserve"> e/o nelle </w:t>
      </w:r>
      <w:proofErr w:type="gramStart"/>
      <w:r w:rsidRPr="00BC161B">
        <w:rPr>
          <w:rFonts w:ascii="Century Gothic" w:hAnsi="Century Gothic"/>
        </w:rPr>
        <w:t>situazioni  di</w:t>
      </w:r>
      <w:proofErr w:type="gramEnd"/>
      <w:r w:rsidRPr="00BC161B">
        <w:rPr>
          <w:rFonts w:ascii="Century Gothic" w:hAnsi="Century Gothic"/>
        </w:rPr>
        <w:t xml:space="preserve"> cui all’art. 10 del D. Lgs 235/2012; </w:t>
      </w:r>
    </w:p>
    <w:p w:rsidR="009C6981" w:rsidRPr="00BC161B" w:rsidRDefault="009C6981" w:rsidP="009C6981">
      <w:pPr>
        <w:numPr>
          <w:ilvl w:val="0"/>
          <w:numId w:val="1"/>
        </w:numPr>
        <w:autoSpaceDE w:val="0"/>
        <w:autoSpaceDN w:val="0"/>
        <w:jc w:val="both"/>
        <w:rPr>
          <w:rFonts w:ascii="Century Gothic" w:hAnsi="Century Gothic"/>
          <w:snapToGrid w:val="0"/>
        </w:rPr>
      </w:pPr>
      <w:r w:rsidRPr="00BC161B">
        <w:rPr>
          <w:rFonts w:ascii="Century Gothic" w:hAnsi="Century Gothic"/>
          <w:snapToGrid w:val="0"/>
        </w:rPr>
        <w:t xml:space="preserve">non si trovino in stato di fallimento, nonché si trovino in condizioni per la dichiarazione di stato di fallimento; </w:t>
      </w:r>
    </w:p>
    <w:p w:rsidR="009C6981" w:rsidRPr="00BC161B" w:rsidRDefault="009C6981" w:rsidP="009C6981">
      <w:pPr>
        <w:numPr>
          <w:ilvl w:val="0"/>
          <w:numId w:val="1"/>
        </w:numPr>
        <w:autoSpaceDE w:val="0"/>
        <w:autoSpaceDN w:val="0"/>
        <w:jc w:val="both"/>
        <w:rPr>
          <w:rFonts w:ascii="Century Gothic" w:hAnsi="Century Gothic"/>
          <w:snapToGrid w:val="0"/>
        </w:rPr>
      </w:pPr>
      <w:r w:rsidRPr="00BC161B">
        <w:rPr>
          <w:rFonts w:ascii="Century Gothic" w:hAnsi="Century Gothic"/>
          <w:snapToGrid w:val="0"/>
        </w:rPr>
        <w:t xml:space="preserve">non siano amministratori di società che si trovano in stato di fallimento o di società nei cui confronti sia stata dichiarata la liquidazione coatta o il concordato preventivo, o per le quali siano in corso procedimenti per la dichiarazione di una di tali situazioni; </w:t>
      </w:r>
    </w:p>
    <w:p w:rsidR="009C6981" w:rsidRPr="00BC161B" w:rsidRDefault="009C6981" w:rsidP="009C6981">
      <w:pPr>
        <w:numPr>
          <w:ilvl w:val="0"/>
          <w:numId w:val="1"/>
        </w:numPr>
        <w:autoSpaceDE w:val="0"/>
        <w:autoSpaceDN w:val="0"/>
        <w:jc w:val="both"/>
        <w:rPr>
          <w:rFonts w:ascii="Century Gothic" w:hAnsi="Century Gothic"/>
        </w:rPr>
      </w:pPr>
      <w:r w:rsidRPr="00BC161B">
        <w:rPr>
          <w:rFonts w:ascii="Century Gothic" w:hAnsi="Century Gothic"/>
        </w:rPr>
        <w:t xml:space="preserve">abbiano competenza, comprovata da specifico curriculum allegato all’atto di nomina, attinente all’incarico da ricoprire, conseguita attraverso studi e ricerche effettuate ed esperienze professionali e istituzionali maturate; </w:t>
      </w:r>
    </w:p>
    <w:p w:rsidR="009C6981" w:rsidRPr="00BC161B" w:rsidRDefault="009C6981" w:rsidP="009C6981">
      <w:pPr>
        <w:numPr>
          <w:ilvl w:val="0"/>
          <w:numId w:val="1"/>
        </w:numPr>
        <w:autoSpaceDE w:val="0"/>
        <w:autoSpaceDN w:val="0"/>
        <w:jc w:val="both"/>
        <w:rPr>
          <w:rFonts w:ascii="Century Gothic" w:hAnsi="Century Gothic"/>
        </w:rPr>
      </w:pPr>
      <w:r w:rsidRPr="00BC161B">
        <w:rPr>
          <w:rFonts w:ascii="Century Gothic" w:hAnsi="Century Gothic"/>
        </w:rPr>
        <w:t>non si trovino nelle condizioni previste dall’art. 1, comma 734, della legge 27/12/2006, n. 296 (Legge Finanziaria 2007) e successive modificazioni ed integrazioni.</w:t>
      </w:r>
    </w:p>
    <w:p w:rsidR="009C6981" w:rsidRPr="00BC161B" w:rsidRDefault="009C6981" w:rsidP="009C6981">
      <w:pPr>
        <w:pStyle w:val="Default"/>
        <w:jc w:val="both"/>
        <w:rPr>
          <w:rFonts w:ascii="Century Gothic" w:hAnsi="Century Gothic"/>
          <w:color w:val="auto"/>
          <w:sz w:val="20"/>
          <w:szCs w:val="20"/>
        </w:rPr>
      </w:pPr>
    </w:p>
    <w:p w:rsidR="009C6981" w:rsidRPr="00BC161B" w:rsidRDefault="009C6981" w:rsidP="009C6981">
      <w:pPr>
        <w:autoSpaceDE w:val="0"/>
        <w:autoSpaceDN w:val="0"/>
        <w:adjustRightInd w:val="0"/>
        <w:jc w:val="both"/>
        <w:rPr>
          <w:rFonts w:ascii="Century Gothic" w:hAnsi="Century Gothic"/>
          <w:b/>
        </w:rPr>
      </w:pPr>
      <w:r w:rsidRPr="00BC161B">
        <w:rPr>
          <w:rFonts w:ascii="Century Gothic" w:hAnsi="Century Gothic" w:cs="Arial"/>
        </w:rPr>
        <w:t>3. I nominati e i designati devono, inoltre, essere in possesso degli eventuali ulteriori requisiti stabiliti dagli Statuti degli Enti di cui sopra o dalla specifica normativa in materia.</w:t>
      </w:r>
    </w:p>
    <w:p w:rsidR="009C6981" w:rsidRPr="00BC161B" w:rsidRDefault="009C6981" w:rsidP="009C6981">
      <w:pPr>
        <w:tabs>
          <w:tab w:val="left" w:pos="1134"/>
          <w:tab w:val="left" w:pos="5670"/>
        </w:tabs>
        <w:jc w:val="both"/>
        <w:rPr>
          <w:rFonts w:ascii="Century Gothic" w:hAnsi="Century Gothic"/>
          <w:b/>
        </w:rPr>
      </w:pPr>
    </w:p>
    <w:p w:rsidR="009C6981" w:rsidRPr="00BC161B" w:rsidRDefault="009C6981" w:rsidP="009C6981">
      <w:pPr>
        <w:autoSpaceDE w:val="0"/>
        <w:autoSpaceDN w:val="0"/>
        <w:adjustRightInd w:val="0"/>
        <w:jc w:val="both"/>
        <w:rPr>
          <w:rFonts w:ascii="Century Gothic" w:hAnsi="Century Gothic" w:cs="Arial"/>
        </w:rPr>
      </w:pPr>
      <w:r w:rsidRPr="00BC161B">
        <w:rPr>
          <w:rFonts w:ascii="Century Gothic" w:hAnsi="Century Gothic" w:cs="Arial"/>
        </w:rPr>
        <w:t xml:space="preserve">4. Al fine di assicurare le condizioni di pari opportunità previste dalla legge 10 aprile 1991, n. 125, le nomine e le disegnazioni in ogni singolo organismo di cui al primo comma, garantiscono la rappresentanza fra i due generi. </w:t>
      </w:r>
    </w:p>
    <w:p w:rsidR="009C6981" w:rsidRPr="00BC161B" w:rsidRDefault="009C6981" w:rsidP="009C6981">
      <w:pPr>
        <w:tabs>
          <w:tab w:val="left" w:pos="1134"/>
          <w:tab w:val="left" w:pos="5670"/>
        </w:tabs>
        <w:jc w:val="both"/>
        <w:rPr>
          <w:rFonts w:ascii="Century Gothic" w:hAnsi="Century Gothic"/>
          <w:b/>
        </w:rPr>
      </w:pPr>
    </w:p>
    <w:p w:rsidR="009C6981" w:rsidRPr="00BC161B" w:rsidRDefault="009C6981" w:rsidP="009C6981">
      <w:pPr>
        <w:tabs>
          <w:tab w:val="left" w:pos="1134"/>
          <w:tab w:val="left" w:pos="5670"/>
        </w:tabs>
        <w:jc w:val="both"/>
        <w:rPr>
          <w:rFonts w:ascii="Century Gothic" w:hAnsi="Century Gothic"/>
          <w:b/>
        </w:rPr>
      </w:pPr>
    </w:p>
    <w:p w:rsidR="009C6981" w:rsidRPr="00BC161B" w:rsidRDefault="009C6981" w:rsidP="009C6981">
      <w:pPr>
        <w:jc w:val="both"/>
        <w:rPr>
          <w:rFonts w:ascii="Century Gothic" w:hAnsi="Century Gothic"/>
          <w:b/>
        </w:rPr>
      </w:pPr>
      <w:r w:rsidRPr="00BC161B">
        <w:rPr>
          <w:rFonts w:ascii="Century Gothic" w:hAnsi="Century Gothic"/>
          <w:b/>
        </w:rPr>
        <w:t>Art. 5 – Cause di incompatibilità ed esclusione</w:t>
      </w:r>
    </w:p>
    <w:p w:rsidR="009C6981" w:rsidRPr="00BC161B" w:rsidRDefault="009C6981" w:rsidP="009C6981">
      <w:pPr>
        <w:jc w:val="both"/>
        <w:rPr>
          <w:rFonts w:ascii="Century Gothic" w:hAnsi="Century Gothic"/>
        </w:rPr>
      </w:pPr>
    </w:p>
    <w:p w:rsidR="009C6981" w:rsidRPr="00BC161B" w:rsidRDefault="009C6981" w:rsidP="009C6981">
      <w:pPr>
        <w:autoSpaceDE w:val="0"/>
        <w:autoSpaceDN w:val="0"/>
        <w:adjustRightInd w:val="0"/>
        <w:jc w:val="both"/>
        <w:rPr>
          <w:rFonts w:ascii="Century Gothic" w:hAnsi="Century Gothic" w:cs="Arial"/>
        </w:rPr>
      </w:pPr>
      <w:r w:rsidRPr="00BC161B">
        <w:rPr>
          <w:rFonts w:ascii="Century Gothic" w:hAnsi="Century Gothic" w:cs="Arial"/>
        </w:rPr>
        <w:t>1. È incompatibile con la posizione di rappresentante del Comune in Aziende, Istituzioni, Fondazioni, Enti (comprese le Società) la condizione di coniuge, parente o affine sino al terzo grado civile con il Sindaco</w:t>
      </w:r>
      <w:r w:rsidRPr="00BC161B">
        <w:rPr>
          <w:rFonts w:ascii="Century Gothic" w:hAnsi="Century Gothic" w:cs="Arial"/>
          <w:b/>
          <w:bCs/>
        </w:rPr>
        <w:t xml:space="preserve">, </w:t>
      </w:r>
      <w:r w:rsidRPr="00BC161B">
        <w:rPr>
          <w:rFonts w:ascii="Century Gothic" w:hAnsi="Century Gothic" w:cs="Arial"/>
        </w:rPr>
        <w:t>gli Assessori e i Consiglieri Comunali.</w:t>
      </w:r>
    </w:p>
    <w:p w:rsidR="009C6981" w:rsidRPr="00BC161B" w:rsidRDefault="009C6981" w:rsidP="009C6981">
      <w:pPr>
        <w:autoSpaceDE w:val="0"/>
        <w:autoSpaceDN w:val="0"/>
        <w:adjustRightInd w:val="0"/>
        <w:jc w:val="both"/>
        <w:rPr>
          <w:rFonts w:ascii="Century Gothic" w:hAnsi="Century Gothic" w:cs="Arial"/>
        </w:rPr>
      </w:pP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cs="Arial"/>
        </w:rPr>
        <w:t>2. Sono inoltre incompatibili con la nomina alla presidenza o in seno al Consiglio di Amministrazione di Società partecipate dal Comune di Porto Mantovano l'appartenenza agli Organi (ad esclusione degli Organi di Revisione) di altra Società partecipata dal Comune di Porto Mantovano, la designazione, la nomina o la conservazione di cariche in Istituzioni, Fondazioni od Enti (comprese le Società) partecipati da questo Comune o per i quali al Comune stesso competa la nomina/designazione di componenti dei relativi Organi.</w:t>
      </w:r>
    </w:p>
    <w:p w:rsidR="009C6981" w:rsidRPr="00BC161B" w:rsidRDefault="009C6981" w:rsidP="009C6981">
      <w:pPr>
        <w:autoSpaceDE w:val="0"/>
        <w:autoSpaceDN w:val="0"/>
        <w:jc w:val="both"/>
        <w:rPr>
          <w:rFonts w:ascii="Century Gothic" w:hAnsi="Century Gothic"/>
        </w:rPr>
      </w:pPr>
    </w:p>
    <w:p w:rsidR="009C6981" w:rsidRPr="00BC161B" w:rsidRDefault="009C6981" w:rsidP="009C6981">
      <w:pPr>
        <w:autoSpaceDE w:val="0"/>
        <w:autoSpaceDN w:val="0"/>
        <w:jc w:val="both"/>
        <w:rPr>
          <w:rFonts w:ascii="Century Gothic" w:hAnsi="Century Gothic"/>
        </w:rPr>
      </w:pPr>
      <w:r w:rsidRPr="00BC161B">
        <w:rPr>
          <w:rFonts w:ascii="Century Gothic" w:hAnsi="Century Gothic"/>
        </w:rPr>
        <w:t xml:space="preserve">3. Ferme restando le cause di incompatibilità e </w:t>
      </w:r>
      <w:proofErr w:type="spellStart"/>
      <w:r w:rsidRPr="00BC161B">
        <w:rPr>
          <w:rFonts w:ascii="Century Gothic" w:hAnsi="Century Gothic"/>
        </w:rPr>
        <w:t>inconferibilità</w:t>
      </w:r>
      <w:proofErr w:type="spellEnd"/>
      <w:r w:rsidRPr="00BC161B">
        <w:rPr>
          <w:rFonts w:ascii="Century Gothic" w:hAnsi="Century Gothic"/>
        </w:rPr>
        <w:t xml:space="preserve"> previste dal D. Lgs. 39/2013 e le cause di ineleggibilità, applicabili anche ai casi di nomina di competenza di Sindaci, Giunte e Consigli </w:t>
      </w:r>
      <w:r w:rsidRPr="00BC161B">
        <w:rPr>
          <w:rFonts w:ascii="Century Gothic" w:hAnsi="Century Gothic"/>
        </w:rPr>
        <w:lastRenderedPageBreak/>
        <w:t xml:space="preserve">comunali, previste dall’art. 10 del </w:t>
      </w:r>
      <w:proofErr w:type="spellStart"/>
      <w:r w:rsidRPr="00BC161B">
        <w:rPr>
          <w:rFonts w:ascii="Century Gothic" w:hAnsi="Century Gothic"/>
        </w:rPr>
        <w:t>D.Lgs</w:t>
      </w:r>
      <w:proofErr w:type="spellEnd"/>
      <w:r w:rsidRPr="00BC161B">
        <w:rPr>
          <w:rFonts w:ascii="Century Gothic" w:hAnsi="Century Gothic"/>
        </w:rPr>
        <w:t xml:space="preserve"> 235/2012, non possono ricoprire cariche e incarichi di cui ai presenti indirizzi coloro che versino nelle seguenti cause di incompatibilità: </w:t>
      </w:r>
    </w:p>
    <w:p w:rsidR="009C6981" w:rsidRPr="00BC161B" w:rsidRDefault="009C6981" w:rsidP="009C6981">
      <w:pPr>
        <w:autoSpaceDE w:val="0"/>
        <w:autoSpaceDN w:val="0"/>
        <w:spacing w:after="35"/>
        <w:jc w:val="both"/>
        <w:rPr>
          <w:rFonts w:ascii="Century Gothic" w:hAnsi="Century Gothic"/>
        </w:rPr>
      </w:pPr>
      <w:r w:rsidRPr="00BC161B">
        <w:rPr>
          <w:rFonts w:ascii="Century Gothic" w:hAnsi="Century Gothic"/>
        </w:rPr>
        <w:t xml:space="preserve">a) i componenti di organi consultivi o di vigilanza o di controllo tenuti ad esprimersi sui provvedimenti degli enti o organismi ai quali la nomina o designazione si riferisce; </w:t>
      </w:r>
    </w:p>
    <w:p w:rsidR="009C6981" w:rsidRPr="00BC161B" w:rsidRDefault="009C6981" w:rsidP="009C6981">
      <w:pPr>
        <w:autoSpaceDE w:val="0"/>
        <w:autoSpaceDN w:val="0"/>
        <w:spacing w:after="35"/>
        <w:jc w:val="both"/>
        <w:rPr>
          <w:rFonts w:ascii="Century Gothic" w:hAnsi="Century Gothic"/>
        </w:rPr>
      </w:pPr>
      <w:r w:rsidRPr="00BC161B">
        <w:rPr>
          <w:rFonts w:ascii="Century Gothic" w:hAnsi="Century Gothic"/>
        </w:rPr>
        <w:t>b) i soggetti che si trovano in condizioni di conflitto di interesse rispetto all’incarico, avendo, per le attività esercitate, interessi direttamente o indirettamente in contrasto con le competenze istituzionali dell’ente, azienda o istituzione cui l’incarico si riferisce;</w:t>
      </w:r>
    </w:p>
    <w:p w:rsidR="009C6981" w:rsidRPr="00BC161B" w:rsidRDefault="009C6981" w:rsidP="009C6981">
      <w:pPr>
        <w:autoSpaceDE w:val="0"/>
        <w:autoSpaceDN w:val="0"/>
        <w:spacing w:after="35"/>
        <w:jc w:val="both"/>
        <w:rPr>
          <w:rFonts w:ascii="Century Gothic" w:hAnsi="Century Gothic"/>
        </w:rPr>
      </w:pPr>
      <w:r w:rsidRPr="00BC161B">
        <w:rPr>
          <w:rFonts w:ascii="Century Gothic" w:hAnsi="Century Gothic"/>
        </w:rPr>
        <w:t xml:space="preserve">c) i soggetti che, in qualsiasi modo, siano in rapporto di dipendenza, di partecipazione o di collaborazione contrattuale con l’ente nel quale rappresentano il Comune; </w:t>
      </w:r>
    </w:p>
    <w:p w:rsidR="009C6981" w:rsidRPr="00BC161B" w:rsidRDefault="009C6981" w:rsidP="009C6981">
      <w:pPr>
        <w:autoSpaceDE w:val="0"/>
        <w:autoSpaceDN w:val="0"/>
        <w:spacing w:after="35"/>
        <w:jc w:val="both"/>
        <w:rPr>
          <w:rFonts w:ascii="Century Gothic" w:hAnsi="Century Gothic"/>
        </w:rPr>
      </w:pPr>
      <w:r w:rsidRPr="00BC161B">
        <w:rPr>
          <w:rFonts w:ascii="Century Gothic" w:hAnsi="Century Gothic"/>
        </w:rPr>
        <w:t>d) coloro che abbiano una lite pendente con il Comune e/o con l’ente, l’azienda pubblica o l’istituzione cui la nomina si riferisce.</w:t>
      </w:r>
    </w:p>
    <w:p w:rsidR="009C6981" w:rsidRPr="00BC161B" w:rsidRDefault="009C6981" w:rsidP="009C6981">
      <w:pPr>
        <w:autoSpaceDE w:val="0"/>
        <w:autoSpaceDN w:val="0"/>
        <w:adjustRightInd w:val="0"/>
        <w:jc w:val="both"/>
        <w:rPr>
          <w:rFonts w:ascii="Century Gothic" w:hAnsi="Century Gothic" w:cs="Arial"/>
        </w:rPr>
      </w:pPr>
      <w:r w:rsidRPr="00BC161B">
        <w:rPr>
          <w:rFonts w:ascii="Century Gothic" w:hAnsi="Century Gothic" w:cs="Arial"/>
        </w:rPr>
        <w:t>e) coloro che siano stati revocati da precedenti nomine/designazioni del Comune di Porto Mantovano.</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cs="Arial"/>
        </w:rPr>
        <w:t>f) chi sia già stato nominato in un altro ente o organismo partecipato dal Comune di Porto Mantovano.</w:t>
      </w:r>
    </w:p>
    <w:p w:rsidR="009C6981" w:rsidRPr="00BC161B" w:rsidRDefault="009C6981" w:rsidP="009C6981">
      <w:pPr>
        <w:autoSpaceDE w:val="0"/>
        <w:autoSpaceDN w:val="0"/>
        <w:jc w:val="both"/>
        <w:rPr>
          <w:rFonts w:ascii="Century Gothic" w:hAnsi="Century Gothic"/>
        </w:rPr>
      </w:pPr>
    </w:p>
    <w:p w:rsidR="009C6981" w:rsidRPr="00BC161B" w:rsidRDefault="009C6981" w:rsidP="009C6981">
      <w:pPr>
        <w:autoSpaceDE w:val="0"/>
        <w:autoSpaceDN w:val="0"/>
        <w:jc w:val="both"/>
        <w:rPr>
          <w:rFonts w:ascii="Century Gothic" w:hAnsi="Century Gothic"/>
        </w:rPr>
      </w:pPr>
      <w:r w:rsidRPr="00BC161B">
        <w:rPr>
          <w:rFonts w:ascii="Century Gothic" w:hAnsi="Century Gothic"/>
        </w:rPr>
        <w:t xml:space="preserve">4. In particolare le situazioni di incompatibilità specifiche per gli amministratori in società partecipate e in altri organismi pubblici sono quelle indicate dalle seguenti disposizioni del d.lgs. n. 39/2013: </w:t>
      </w:r>
    </w:p>
    <w:p w:rsidR="009C6981" w:rsidRPr="00BC161B" w:rsidRDefault="009C6981" w:rsidP="009C6981">
      <w:pPr>
        <w:pStyle w:val="Default"/>
        <w:jc w:val="both"/>
        <w:rPr>
          <w:rFonts w:ascii="Century Gothic" w:hAnsi="Century Gothic"/>
          <w:color w:val="auto"/>
          <w:sz w:val="20"/>
          <w:szCs w:val="20"/>
        </w:rPr>
      </w:pPr>
      <w:r w:rsidRPr="00BC161B">
        <w:rPr>
          <w:rFonts w:ascii="Century Gothic" w:hAnsi="Century Gothic"/>
          <w:color w:val="auto"/>
          <w:sz w:val="20"/>
          <w:szCs w:val="20"/>
        </w:rPr>
        <w:t xml:space="preserve">- art. 9, riguardante le “incompatibilità tra incarichi e cariche in enti di diritto privato regolati o finanziati, nonché tra gli stessi incarichi e le attività professionali” e, in particolare, il co. 2; </w:t>
      </w:r>
    </w:p>
    <w:p w:rsidR="009C6981" w:rsidRPr="00BC161B" w:rsidRDefault="009C6981" w:rsidP="009C6981">
      <w:pPr>
        <w:pStyle w:val="Default"/>
        <w:jc w:val="both"/>
        <w:rPr>
          <w:rFonts w:ascii="Century Gothic" w:hAnsi="Century Gothic"/>
          <w:color w:val="auto"/>
          <w:sz w:val="20"/>
          <w:szCs w:val="20"/>
        </w:rPr>
      </w:pPr>
      <w:r w:rsidRPr="00BC161B">
        <w:rPr>
          <w:rFonts w:ascii="Century Gothic" w:hAnsi="Century Gothic"/>
          <w:color w:val="auto"/>
          <w:sz w:val="20"/>
          <w:szCs w:val="20"/>
        </w:rPr>
        <w:t xml:space="preserve">- art. 11, relativo a “incompatibilità tra incarichi amministrativi di vertice e di amministratore di ente pubblico e cariche di componenti degli organi di indirizzo nelle amministrazioni statali, regionali e locali, ed in particolare i co. 2 e 3; </w:t>
      </w:r>
    </w:p>
    <w:p w:rsidR="009C6981" w:rsidRPr="00BC161B" w:rsidRDefault="009C6981" w:rsidP="009C6981">
      <w:pPr>
        <w:pStyle w:val="Default"/>
        <w:jc w:val="both"/>
        <w:rPr>
          <w:rFonts w:ascii="Century Gothic" w:hAnsi="Century Gothic"/>
          <w:color w:val="auto"/>
          <w:sz w:val="20"/>
          <w:szCs w:val="20"/>
        </w:rPr>
      </w:pPr>
      <w:r w:rsidRPr="00BC161B">
        <w:rPr>
          <w:rFonts w:ascii="Century Gothic" w:hAnsi="Century Gothic"/>
          <w:color w:val="auto"/>
          <w:sz w:val="20"/>
          <w:szCs w:val="20"/>
        </w:rPr>
        <w:t xml:space="preserve">- art. 13, recante “incompatibilità tra incarichi di amministratore di ente di diritto privato in controllo pubblico e cariche di componenti degli organi di indirizzo politico nelle amministrazioni statali, regionali e locali”; </w:t>
      </w:r>
    </w:p>
    <w:p w:rsidR="009C6981" w:rsidRPr="00BC161B" w:rsidRDefault="009C6981" w:rsidP="009C6981">
      <w:pPr>
        <w:pStyle w:val="Default"/>
        <w:jc w:val="both"/>
        <w:rPr>
          <w:rFonts w:ascii="Century Gothic" w:hAnsi="Century Gothic"/>
          <w:color w:val="auto"/>
          <w:sz w:val="20"/>
          <w:szCs w:val="20"/>
        </w:rPr>
      </w:pPr>
      <w:r w:rsidRPr="00BC161B">
        <w:rPr>
          <w:rFonts w:ascii="Century Gothic" w:hAnsi="Century Gothic"/>
          <w:color w:val="auto"/>
          <w:sz w:val="20"/>
          <w:szCs w:val="20"/>
        </w:rPr>
        <w:t xml:space="preserve">- art. 14, co. 1 e 2, lettere a) e c), con specifico riferimento alle nomine nel settore sanitario. </w:t>
      </w:r>
    </w:p>
    <w:p w:rsidR="009C6981" w:rsidRPr="00BC161B" w:rsidRDefault="009C6981" w:rsidP="009C6981">
      <w:pPr>
        <w:autoSpaceDE w:val="0"/>
        <w:autoSpaceDN w:val="0"/>
        <w:jc w:val="both"/>
        <w:rPr>
          <w:rFonts w:ascii="Century Gothic" w:hAnsi="Century Gothic"/>
        </w:rPr>
      </w:pPr>
    </w:p>
    <w:p w:rsidR="009C6981" w:rsidRPr="00BC161B" w:rsidRDefault="009C6981" w:rsidP="009C6981">
      <w:pPr>
        <w:pStyle w:val="Default"/>
        <w:jc w:val="both"/>
        <w:rPr>
          <w:rFonts w:ascii="Century Gothic" w:hAnsi="Century Gothic" w:cs="Verdana"/>
          <w:color w:val="auto"/>
          <w:sz w:val="20"/>
          <w:szCs w:val="20"/>
        </w:rPr>
      </w:pPr>
      <w:r w:rsidRPr="00BC161B">
        <w:rPr>
          <w:rFonts w:ascii="Century Gothic" w:hAnsi="Century Gothic"/>
          <w:color w:val="auto"/>
          <w:sz w:val="20"/>
          <w:szCs w:val="20"/>
        </w:rPr>
        <w:t>5. Restano ferme le cause ostative alla nomina/ designazione in enti e organismi partecipati da Enti Pubblici previste dalla vigente normativa in materia di enti e organismi partecipati da Enti Pubblici e dalle Linee Guida che l’Autorità Nazionale Anticorruzione ha approvato con la Determinazione n. 8 del 17 giugno 2015 ad oggetto «</w:t>
      </w:r>
      <w:r w:rsidRPr="00BC161B">
        <w:rPr>
          <w:rFonts w:ascii="Century Gothic" w:hAnsi="Century Gothic"/>
          <w:i/>
          <w:color w:val="auto"/>
          <w:sz w:val="20"/>
          <w:szCs w:val="20"/>
        </w:rPr>
        <w:t>Linee guida per l’attuazione della normativa in materia di prevenzione della corruzione e trasparenza da parte delle società e degli enti di diritto privato controllati e partecipati dalle pubbliche amministrazioni e degli enti pubblici economici»</w:t>
      </w:r>
      <w:r w:rsidRPr="00BC161B">
        <w:rPr>
          <w:rFonts w:ascii="Century Gothic" w:hAnsi="Century Gothic"/>
          <w:color w:val="auto"/>
          <w:sz w:val="20"/>
          <w:szCs w:val="20"/>
        </w:rPr>
        <w:t>.</w:t>
      </w:r>
    </w:p>
    <w:p w:rsidR="009C6981" w:rsidRPr="00BC161B" w:rsidRDefault="009C6981" w:rsidP="009C6981">
      <w:pPr>
        <w:pStyle w:val="Default"/>
        <w:jc w:val="both"/>
        <w:rPr>
          <w:rFonts w:ascii="Century Gothic" w:hAnsi="Century Gothic"/>
          <w:color w:val="auto"/>
          <w:sz w:val="20"/>
          <w:szCs w:val="20"/>
        </w:rPr>
      </w:pPr>
    </w:p>
    <w:p w:rsidR="009C6981" w:rsidRPr="00BC161B" w:rsidRDefault="009C6981" w:rsidP="009C6981">
      <w:pPr>
        <w:pStyle w:val="Default"/>
        <w:jc w:val="both"/>
        <w:rPr>
          <w:rFonts w:ascii="Verdana" w:hAnsi="Verdana" w:cs="Verdana"/>
          <w:color w:val="auto"/>
        </w:rPr>
      </w:pPr>
      <w:r w:rsidRPr="00BC161B">
        <w:rPr>
          <w:rFonts w:ascii="Century Gothic" w:hAnsi="Century Gothic"/>
          <w:color w:val="auto"/>
          <w:sz w:val="20"/>
          <w:szCs w:val="20"/>
        </w:rPr>
        <w:t xml:space="preserve">6. Il sopravvenire di una delle cause di incompatibilità o </w:t>
      </w:r>
      <w:proofErr w:type="spellStart"/>
      <w:r w:rsidRPr="00BC161B">
        <w:rPr>
          <w:rFonts w:ascii="Century Gothic" w:hAnsi="Century Gothic"/>
          <w:color w:val="auto"/>
          <w:sz w:val="20"/>
          <w:szCs w:val="20"/>
        </w:rPr>
        <w:t>inconferibilità</w:t>
      </w:r>
      <w:proofErr w:type="spellEnd"/>
      <w:r w:rsidRPr="00BC161B">
        <w:rPr>
          <w:rFonts w:ascii="Century Gothic" w:hAnsi="Century Gothic"/>
          <w:color w:val="auto"/>
          <w:sz w:val="20"/>
          <w:szCs w:val="20"/>
        </w:rPr>
        <w:t xml:space="preserve"> nel corso del mandato anche per effetto di modifiche normative, comporta la revoca e/o decadenza dall’incarico.</w:t>
      </w:r>
      <w:r w:rsidRPr="00BC161B">
        <w:rPr>
          <w:rFonts w:ascii="Verdana" w:hAnsi="Verdana" w:cs="Verdana"/>
          <w:color w:val="auto"/>
          <w:sz w:val="20"/>
          <w:szCs w:val="20"/>
        </w:rPr>
        <w:t xml:space="preserve"> </w:t>
      </w:r>
    </w:p>
    <w:p w:rsidR="009C6981" w:rsidRPr="00BC161B" w:rsidRDefault="009C6981" w:rsidP="009C6981">
      <w:pPr>
        <w:autoSpaceDE w:val="0"/>
        <w:autoSpaceDN w:val="0"/>
        <w:adjustRightInd w:val="0"/>
        <w:rPr>
          <w:rFonts w:ascii="Century Gothic" w:hAnsi="Century Gothic" w:cs="CenturyGothic"/>
          <w:i/>
        </w:rPr>
      </w:pPr>
    </w:p>
    <w:p w:rsidR="006E0475" w:rsidRDefault="006E0475">
      <w:bookmarkStart w:id="1" w:name="_GoBack"/>
      <w:bookmarkEnd w:id="1"/>
    </w:p>
    <w:sectPr w:rsidR="006E0475" w:rsidSect="008200C7">
      <w:footerReference w:type="default" r:id="rId17"/>
      <w:pgSz w:w="11913" w:h="16834"/>
      <w:pgMar w:top="1440" w:right="1080" w:bottom="1440" w:left="1080" w:header="720" w:footer="720" w:gutter="0"/>
      <w:paperSrc w:first="1" w:other="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Unicode">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Gothic,Bold">
    <w:panose1 w:val="00000000000000000000"/>
    <w:charset w:val="00"/>
    <w:family w:val="auto"/>
    <w:notTrueType/>
    <w:pitch w:val="default"/>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1F8" w:rsidRDefault="009C6981">
    <w:pPr>
      <w:pStyle w:val="Pidipagina"/>
      <w:ind w:right="360"/>
    </w:pPr>
    <w:r>
      <w:tab/>
    </w: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D68199"/>
    <w:multiLevelType w:val="hybridMultilevel"/>
    <w:tmpl w:val="BA76B9E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BD2797"/>
    <w:multiLevelType w:val="singleLevel"/>
    <w:tmpl w:val="7EA4D0EA"/>
    <w:lvl w:ilvl="0">
      <w:start w:val="1"/>
      <w:numFmt w:val="lowerLetter"/>
      <w:lvlText w:val="%1)"/>
      <w:lvlJc w:val="left"/>
      <w:pPr>
        <w:tabs>
          <w:tab w:val="num" w:pos="360"/>
        </w:tabs>
        <w:ind w:left="36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81"/>
    <w:rsid w:val="006E0475"/>
    <w:rsid w:val="009C69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D93"/>
  <w15:chartTrackingRefBased/>
  <w15:docId w15:val="{8C3347EA-6EA8-4506-B96A-609240D0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C698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C6981"/>
    <w:rPr>
      <w:color w:val="0000FF"/>
      <w:u w:val="single"/>
    </w:rPr>
  </w:style>
  <w:style w:type="character" w:styleId="Numeropagina">
    <w:name w:val="page number"/>
    <w:basedOn w:val="Carpredefinitoparagrafo"/>
    <w:rsid w:val="009C6981"/>
  </w:style>
  <w:style w:type="paragraph" w:styleId="Pidipagina">
    <w:name w:val="footer"/>
    <w:basedOn w:val="Normale"/>
    <w:link w:val="PidipaginaCarattere"/>
    <w:rsid w:val="009C6981"/>
    <w:pPr>
      <w:tabs>
        <w:tab w:val="center" w:pos="4819"/>
        <w:tab w:val="right" w:pos="9638"/>
      </w:tabs>
    </w:pPr>
  </w:style>
  <w:style w:type="character" w:customStyle="1" w:styleId="PidipaginaCarattere">
    <w:name w:val="Piè di pagina Carattere"/>
    <w:basedOn w:val="Carpredefinitoparagrafo"/>
    <w:link w:val="Pidipagina"/>
    <w:rsid w:val="009C6981"/>
    <w:rPr>
      <w:rFonts w:ascii="Times New Roman" w:eastAsia="Times New Roman" w:hAnsi="Times New Roman" w:cs="Times New Roman"/>
      <w:sz w:val="20"/>
      <w:szCs w:val="20"/>
      <w:lang w:eastAsia="it-IT"/>
    </w:rPr>
  </w:style>
  <w:style w:type="paragraph" w:customStyle="1" w:styleId="Default">
    <w:name w:val="Default"/>
    <w:rsid w:val="009C6981"/>
    <w:pPr>
      <w:autoSpaceDE w:val="0"/>
      <w:autoSpaceDN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00-08-18;267~art114" TargetMode="External"/><Relationship Id="rId13" Type="http://schemas.openxmlformats.org/officeDocument/2006/relationships/hyperlink" Target="https://www.normattiva.it/uri-res/N2Ls?urn:nir:stato:codice.penale:1930-10-19;139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eportomantovano@legalmail.it" TargetMode="External"/><Relationship Id="rId12" Type="http://schemas.openxmlformats.org/officeDocument/2006/relationships/hyperlink" Target="https://www.normattiva.it/uri-res/N2Ls?urn:nir:presidente.repubblica:codice.procedura.penale:1988-09-22;447~art51-com3quate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ormattiva.it/uri-res/N2Ls?urn:nir:presidente.repubblica:codice.procedura.penale:1988-09-22;447~art665" TargetMode="External"/><Relationship Id="rId1" Type="http://schemas.openxmlformats.org/officeDocument/2006/relationships/numbering" Target="numbering.xml"/><Relationship Id="rId6" Type="http://schemas.openxmlformats.org/officeDocument/2006/relationships/hyperlink" Target="mailto:boxxapps@legalmail.it" TargetMode="External"/><Relationship Id="rId11" Type="http://schemas.openxmlformats.org/officeDocument/2006/relationships/hyperlink" Target="https://www.normattiva.it/uri-res/N2Ls?urn:nir:presidente.repubblica:codice.procedura.penale:1988-09-22;447~art51-com3bis" TargetMode="External"/><Relationship Id="rId5" Type="http://schemas.openxmlformats.org/officeDocument/2006/relationships/hyperlink" Target="http://www.comune.porto-mantovano.mn.it" TargetMode="External"/><Relationship Id="rId15" Type="http://schemas.openxmlformats.org/officeDocument/2006/relationships/hyperlink" Target="https://www.normattiva.it/uri-res/N2Ls?urn:nir:stato:decreto.legislativo:2011-09-06;159~art4-com1-letb" TargetMode="External"/><Relationship Id="rId10" Type="http://schemas.openxmlformats.org/officeDocument/2006/relationships/hyperlink" Target="https://www.normattiva.it/uri-res/N2Ls?urn:nir:presidente.repubblica:decreto:1990-10-09;3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ormattiva.it/uri-res/N2Ls?urn:nir:stato:codice.penale:1930-10-19;1398~art416bis" TargetMode="External"/><Relationship Id="rId14" Type="http://schemas.openxmlformats.org/officeDocument/2006/relationships/hyperlink" Target="https://www.normattiva.it/uri-res/N2Ls?urn:nir:stato:decreto.legislativo:2011-09-06;159~art4-com1-le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3574</Words>
  <Characters>20377</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Torresan - Comune di Porto Mantovano</dc:creator>
  <cp:keywords/>
  <dc:description/>
  <cp:lastModifiedBy>Anna Torresan - Comune di Porto Mantovano</cp:lastModifiedBy>
  <cp:revision>1</cp:revision>
  <dcterms:created xsi:type="dcterms:W3CDTF">2026-01-21T08:32:00Z</dcterms:created>
  <dcterms:modified xsi:type="dcterms:W3CDTF">2026-01-21T08:33:00Z</dcterms:modified>
</cp:coreProperties>
</file>